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29B75C" w14:textId="77777777" w:rsidR="00A019FC" w:rsidRPr="00744C19" w:rsidRDefault="006838BB" w:rsidP="00916D5D">
      <w:pPr>
        <w:spacing w:after="0" w:line="240" w:lineRule="auto"/>
        <w:jc w:val="right"/>
        <w:rPr>
          <w:rFonts w:ascii="Arial" w:hAnsi="Arial" w:cs="Arial"/>
          <w:b/>
          <w:lang w:val="es-MX"/>
        </w:rPr>
      </w:pPr>
      <w:bookmarkStart w:id="0" w:name="_GoBack"/>
      <w:bookmarkEnd w:id="0"/>
      <w:r>
        <w:rPr>
          <w:rFonts w:ascii="Arial" w:hAnsi="Arial" w:cs="Arial"/>
          <w:b/>
          <w:noProof/>
          <w:lang w:eastAsia="es-ES"/>
        </w:rPr>
        <w:drawing>
          <wp:anchor distT="0" distB="0" distL="114300" distR="114300" simplePos="0" relativeHeight="251658240" behindDoc="0" locked="0" layoutInCell="1" allowOverlap="1" wp14:anchorId="60BF546D" wp14:editId="2716B875">
            <wp:simplePos x="0" y="0"/>
            <wp:positionH relativeFrom="column">
              <wp:posOffset>98425</wp:posOffset>
            </wp:positionH>
            <wp:positionV relativeFrom="paragraph">
              <wp:posOffset>142240</wp:posOffset>
            </wp:positionV>
            <wp:extent cx="1903095" cy="595630"/>
            <wp:effectExtent l="0" t="0" r="0" b="0"/>
            <wp:wrapNone/>
            <wp:docPr id="10" name="Imagen 10" descr="CenefaComunicados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nefaComunicadosPRENSA"/>
                    <pic:cNvPicPr>
                      <a:picLocks noChangeAspect="1" noChangeArrowheads="1"/>
                    </pic:cNvPicPr>
                  </pic:nvPicPr>
                  <pic:blipFill>
                    <a:blip r:embed="rId8" cstate="print">
                      <a:extLst>
                        <a:ext uri="{28A0092B-C50C-407E-A947-70E740481C1C}">
                          <a14:useLocalDpi xmlns:a14="http://schemas.microsoft.com/office/drawing/2010/main" val="0"/>
                        </a:ext>
                      </a:extLst>
                    </a:blip>
                    <a:srcRect r="69919"/>
                    <a:stretch>
                      <a:fillRect/>
                    </a:stretch>
                  </pic:blipFill>
                  <pic:spPr bwMode="auto">
                    <a:xfrm>
                      <a:off x="0" y="0"/>
                      <a:ext cx="190309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s-ES"/>
        </w:rPr>
        <w:drawing>
          <wp:anchor distT="0" distB="0" distL="114300" distR="114300" simplePos="0" relativeHeight="251657216" behindDoc="0" locked="0" layoutInCell="1" allowOverlap="1" wp14:anchorId="2DAF38B2" wp14:editId="361ED67D">
            <wp:simplePos x="0" y="0"/>
            <wp:positionH relativeFrom="column">
              <wp:posOffset>2650490</wp:posOffset>
            </wp:positionH>
            <wp:positionV relativeFrom="paragraph">
              <wp:posOffset>-123825</wp:posOffset>
            </wp:positionV>
            <wp:extent cx="3604260" cy="1020445"/>
            <wp:effectExtent l="0" t="0" r="0" b="0"/>
            <wp:wrapNone/>
            <wp:docPr id="9" name="Imagen 9" descr="LogoColor150d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olor150dpiP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C260D" w14:textId="77777777" w:rsidR="00E100CB" w:rsidRPr="00744C19" w:rsidRDefault="00E100CB" w:rsidP="005E44BF">
      <w:pPr>
        <w:spacing w:after="0" w:line="240" w:lineRule="auto"/>
        <w:jc w:val="center"/>
        <w:rPr>
          <w:rFonts w:ascii="Arial" w:hAnsi="Arial" w:cs="Arial"/>
          <w:b/>
          <w:lang w:val="es-MX"/>
        </w:rPr>
      </w:pPr>
    </w:p>
    <w:p w14:paraId="2FFCB490" w14:textId="77777777" w:rsidR="00A019FC" w:rsidRPr="00744C19" w:rsidRDefault="00A019FC" w:rsidP="005E44BF">
      <w:pPr>
        <w:spacing w:after="0" w:line="240" w:lineRule="auto"/>
        <w:jc w:val="center"/>
        <w:rPr>
          <w:rFonts w:ascii="Arial" w:hAnsi="Arial" w:cs="Arial"/>
          <w:b/>
          <w:lang w:val="es-MX"/>
        </w:rPr>
      </w:pPr>
    </w:p>
    <w:p w14:paraId="0CA7CB1D" w14:textId="77777777" w:rsidR="00EA60A3" w:rsidRPr="00744C19" w:rsidRDefault="00EA60A3" w:rsidP="005E44BF">
      <w:pPr>
        <w:spacing w:after="0" w:line="240" w:lineRule="auto"/>
        <w:jc w:val="center"/>
        <w:rPr>
          <w:rFonts w:ascii="Arial" w:hAnsi="Arial" w:cs="Arial"/>
          <w:b/>
          <w:lang w:val="es-MX"/>
        </w:rPr>
      </w:pPr>
    </w:p>
    <w:p w14:paraId="1C27C000" w14:textId="77777777" w:rsidR="006D0C80" w:rsidRPr="00744C19" w:rsidRDefault="006D0C80" w:rsidP="005E44BF">
      <w:pPr>
        <w:spacing w:after="0" w:line="240" w:lineRule="auto"/>
        <w:jc w:val="center"/>
        <w:rPr>
          <w:rFonts w:ascii="Arial" w:hAnsi="Arial" w:cs="Arial"/>
          <w:b/>
          <w:lang w:val="es-MX"/>
        </w:rPr>
      </w:pPr>
    </w:p>
    <w:p w14:paraId="3BFD76C6" w14:textId="77777777" w:rsidR="006D0C80" w:rsidRPr="00744C19" w:rsidRDefault="006D0C80" w:rsidP="005E44BF">
      <w:pPr>
        <w:spacing w:after="0" w:line="240" w:lineRule="auto"/>
        <w:jc w:val="center"/>
        <w:rPr>
          <w:rFonts w:ascii="Arial" w:hAnsi="Arial" w:cs="Arial"/>
          <w:b/>
          <w:lang w:val="es-MX"/>
        </w:rPr>
      </w:pPr>
    </w:p>
    <w:p w14:paraId="05C25B4E" w14:textId="77777777" w:rsidR="006D0C80" w:rsidRPr="00744C19" w:rsidRDefault="006D0C80" w:rsidP="005E44BF">
      <w:pPr>
        <w:spacing w:after="0" w:line="240" w:lineRule="auto"/>
        <w:jc w:val="center"/>
        <w:rPr>
          <w:rFonts w:ascii="Arial" w:hAnsi="Arial" w:cs="Arial"/>
          <w:b/>
          <w:lang w:val="es-MX"/>
        </w:rPr>
      </w:pPr>
    </w:p>
    <w:p w14:paraId="0C357CDB" w14:textId="77777777" w:rsidR="00A019FC" w:rsidRPr="00744C19" w:rsidRDefault="00A019FC" w:rsidP="005E44BF">
      <w:pPr>
        <w:spacing w:after="0" w:line="240" w:lineRule="auto"/>
        <w:jc w:val="center"/>
        <w:rPr>
          <w:rFonts w:ascii="Arial" w:hAnsi="Arial" w:cs="Arial"/>
          <w:b/>
          <w:lang w:val="es-MX"/>
        </w:rPr>
      </w:pPr>
    </w:p>
    <w:p w14:paraId="7B0395E7" w14:textId="77777777" w:rsidR="007B4D05" w:rsidRPr="00744C19" w:rsidRDefault="007B4D05" w:rsidP="004251DF">
      <w:pPr>
        <w:spacing w:after="0" w:line="240" w:lineRule="auto"/>
        <w:jc w:val="center"/>
        <w:rPr>
          <w:rFonts w:ascii="Arial" w:hAnsi="Arial" w:cs="Arial"/>
          <w:b/>
          <w:sz w:val="24"/>
          <w:lang w:val="es-MX"/>
        </w:rPr>
      </w:pPr>
      <w:r w:rsidRPr="00E769FC">
        <w:rPr>
          <w:rFonts w:ascii="Arial" w:hAnsi="Arial" w:cs="Arial"/>
          <w:b/>
          <w:sz w:val="24"/>
          <w:lang w:val="es-MX"/>
        </w:rPr>
        <w:t xml:space="preserve">Documento de respuestas a las observaciones recibidas en el proceso de participación </w:t>
      </w:r>
      <w:r>
        <w:rPr>
          <w:rFonts w:ascii="Arial" w:hAnsi="Arial" w:cs="Arial"/>
          <w:b/>
          <w:sz w:val="24"/>
          <w:lang w:val="es-MX"/>
        </w:rPr>
        <w:t xml:space="preserve">de la </w:t>
      </w:r>
      <w:r w:rsidRPr="004251DF">
        <w:rPr>
          <w:rFonts w:ascii="Arial" w:hAnsi="Arial" w:cs="Arial"/>
          <w:b/>
          <w:sz w:val="24"/>
          <w:lang w:val="es-MX"/>
        </w:rPr>
        <w:t>Resolución CRA</w:t>
      </w:r>
      <w:r w:rsidR="004251DF" w:rsidRPr="004251DF">
        <w:rPr>
          <w:rFonts w:ascii="Arial" w:hAnsi="Arial" w:cs="Arial"/>
          <w:b/>
          <w:sz w:val="24"/>
          <w:lang w:val="es-MX"/>
        </w:rPr>
        <w:t xml:space="preserve"> 791 de 2017</w:t>
      </w:r>
      <w:r w:rsidRPr="005A5B1D">
        <w:rPr>
          <w:rFonts w:ascii="Arial" w:hAnsi="Arial" w:cs="Arial"/>
          <w:b/>
          <w:color w:val="00B050"/>
          <w:sz w:val="24"/>
          <w:lang w:val="es-MX"/>
        </w:rPr>
        <w:t xml:space="preserve"> </w:t>
      </w:r>
    </w:p>
    <w:p w14:paraId="539AAF89" w14:textId="77777777" w:rsidR="00567444" w:rsidRPr="00744C19" w:rsidRDefault="00567444" w:rsidP="005E44BF">
      <w:pPr>
        <w:spacing w:after="0" w:line="240" w:lineRule="auto"/>
        <w:jc w:val="center"/>
        <w:rPr>
          <w:rFonts w:ascii="Arial" w:hAnsi="Arial" w:cs="Arial"/>
          <w:b/>
          <w:lang w:val="es-MX"/>
        </w:rPr>
      </w:pPr>
    </w:p>
    <w:p w14:paraId="704CF4E8" w14:textId="77777777" w:rsidR="00567444" w:rsidRPr="00744C19" w:rsidRDefault="00567444" w:rsidP="005E44BF">
      <w:pPr>
        <w:spacing w:after="0" w:line="240" w:lineRule="auto"/>
        <w:jc w:val="center"/>
        <w:rPr>
          <w:rFonts w:ascii="Arial" w:hAnsi="Arial" w:cs="Arial"/>
          <w:b/>
          <w:lang w:val="es-MX"/>
        </w:rPr>
      </w:pPr>
    </w:p>
    <w:p w14:paraId="535C55D3" w14:textId="77777777" w:rsidR="00567444" w:rsidRPr="00744C19" w:rsidRDefault="00567444" w:rsidP="005E44BF">
      <w:pPr>
        <w:spacing w:after="0" w:line="240" w:lineRule="auto"/>
        <w:jc w:val="center"/>
        <w:rPr>
          <w:rFonts w:ascii="Arial" w:hAnsi="Arial" w:cs="Arial"/>
          <w:b/>
          <w:lang w:val="es-MX"/>
        </w:rPr>
      </w:pPr>
    </w:p>
    <w:p w14:paraId="3E22F751" w14:textId="77777777" w:rsidR="00567444" w:rsidRPr="00744C19" w:rsidRDefault="00567444" w:rsidP="005E44BF">
      <w:pPr>
        <w:spacing w:after="0" w:line="240" w:lineRule="auto"/>
        <w:jc w:val="center"/>
        <w:rPr>
          <w:rFonts w:ascii="Arial" w:hAnsi="Arial" w:cs="Arial"/>
          <w:b/>
          <w:lang w:val="es-MX"/>
        </w:rPr>
      </w:pPr>
    </w:p>
    <w:p w14:paraId="5E76A575" w14:textId="77777777" w:rsidR="00567444" w:rsidRPr="00744C19" w:rsidRDefault="00567444" w:rsidP="005E44BF">
      <w:pPr>
        <w:spacing w:after="0" w:line="240" w:lineRule="auto"/>
        <w:jc w:val="center"/>
        <w:rPr>
          <w:rFonts w:ascii="Arial" w:hAnsi="Arial" w:cs="Arial"/>
          <w:b/>
          <w:lang w:val="es-MX"/>
        </w:rPr>
      </w:pPr>
    </w:p>
    <w:p w14:paraId="08B65AD7" w14:textId="77777777" w:rsidR="00567444" w:rsidRPr="00744C19" w:rsidRDefault="00567444" w:rsidP="005E44BF">
      <w:pPr>
        <w:spacing w:after="0" w:line="240" w:lineRule="auto"/>
        <w:jc w:val="center"/>
        <w:rPr>
          <w:rFonts w:ascii="Arial" w:hAnsi="Arial" w:cs="Arial"/>
          <w:b/>
          <w:lang w:val="es-MX"/>
        </w:rPr>
      </w:pPr>
    </w:p>
    <w:p w14:paraId="56C79BB5" w14:textId="77777777" w:rsidR="006D0C80" w:rsidRPr="00744C19" w:rsidRDefault="006D0C80" w:rsidP="005E44BF">
      <w:pPr>
        <w:spacing w:after="0" w:line="240" w:lineRule="auto"/>
        <w:jc w:val="center"/>
        <w:rPr>
          <w:rFonts w:ascii="Arial" w:hAnsi="Arial" w:cs="Arial"/>
          <w:b/>
          <w:lang w:val="es-MX"/>
        </w:rPr>
      </w:pPr>
    </w:p>
    <w:p w14:paraId="42AD5209" w14:textId="77777777" w:rsidR="004251DF" w:rsidRPr="00F7314C" w:rsidRDefault="004251DF" w:rsidP="004251DF">
      <w:pPr>
        <w:spacing w:after="0" w:line="240" w:lineRule="auto"/>
        <w:jc w:val="center"/>
        <w:rPr>
          <w:rFonts w:ascii="Arial" w:hAnsi="Arial" w:cs="Arial"/>
          <w:b/>
          <w:sz w:val="24"/>
          <w:szCs w:val="24"/>
          <w:lang w:val="es-MX"/>
        </w:rPr>
      </w:pPr>
      <w:r w:rsidRPr="00F7314C">
        <w:rPr>
          <w:rFonts w:ascii="Arial" w:hAnsi="Arial" w:cs="Arial"/>
          <w:b/>
          <w:sz w:val="24"/>
          <w:szCs w:val="24"/>
          <w:lang w:val="es-MX"/>
        </w:rPr>
        <w:t xml:space="preserve">Grupo de Trabajo </w:t>
      </w:r>
    </w:p>
    <w:p w14:paraId="0E30F099" w14:textId="77777777" w:rsidR="004251DF" w:rsidRPr="00F7314C" w:rsidRDefault="004251DF" w:rsidP="004251DF">
      <w:pPr>
        <w:spacing w:after="0" w:line="240" w:lineRule="auto"/>
        <w:jc w:val="center"/>
        <w:rPr>
          <w:rFonts w:ascii="Arial" w:hAnsi="Arial" w:cs="Arial"/>
          <w:b/>
          <w:sz w:val="24"/>
          <w:szCs w:val="24"/>
          <w:lang w:val="es-MX"/>
        </w:rPr>
      </w:pPr>
    </w:p>
    <w:p w14:paraId="4C68C05C" w14:textId="77777777" w:rsidR="00211E67" w:rsidRPr="00F7314C" w:rsidRDefault="00211E67" w:rsidP="00211E67">
      <w:pPr>
        <w:pStyle w:val="Default"/>
        <w:jc w:val="center"/>
        <w:rPr>
          <w:b/>
          <w:bCs/>
          <w:color w:val="auto"/>
        </w:rPr>
      </w:pPr>
      <w:r w:rsidRPr="00F7314C">
        <w:rPr>
          <w:b/>
          <w:bCs/>
          <w:color w:val="auto"/>
        </w:rPr>
        <w:t>Raisa Marenco</w:t>
      </w:r>
    </w:p>
    <w:p w14:paraId="191DE01F" w14:textId="77777777" w:rsidR="004251DF" w:rsidRPr="00F7314C" w:rsidRDefault="004251DF" w:rsidP="004251DF">
      <w:pPr>
        <w:pStyle w:val="Default"/>
        <w:jc w:val="center"/>
        <w:rPr>
          <w:color w:val="auto"/>
        </w:rPr>
      </w:pPr>
      <w:r w:rsidRPr="00F7314C">
        <w:rPr>
          <w:b/>
          <w:bCs/>
          <w:color w:val="auto"/>
        </w:rPr>
        <w:t>Geidy Martha</w:t>
      </w:r>
    </w:p>
    <w:p w14:paraId="6ABCB7EF" w14:textId="77777777" w:rsidR="004251DF" w:rsidRPr="00F7314C" w:rsidRDefault="004251DF" w:rsidP="004251DF">
      <w:pPr>
        <w:pStyle w:val="Default"/>
        <w:jc w:val="center"/>
        <w:rPr>
          <w:b/>
          <w:bCs/>
          <w:color w:val="auto"/>
        </w:rPr>
      </w:pPr>
    </w:p>
    <w:p w14:paraId="64E9328D" w14:textId="77777777" w:rsidR="004251DF" w:rsidRPr="00F7314C" w:rsidRDefault="004251DF" w:rsidP="004251DF">
      <w:pPr>
        <w:pStyle w:val="Default"/>
        <w:jc w:val="center"/>
        <w:rPr>
          <w:color w:val="auto"/>
        </w:rPr>
      </w:pPr>
      <w:r w:rsidRPr="00F7314C">
        <w:rPr>
          <w:b/>
          <w:bCs/>
          <w:color w:val="auto"/>
        </w:rPr>
        <w:t>Mayra Gómez</w:t>
      </w:r>
    </w:p>
    <w:p w14:paraId="6145262F" w14:textId="77777777" w:rsidR="004251DF" w:rsidRPr="00F7314C" w:rsidRDefault="004251DF" w:rsidP="004251DF">
      <w:pPr>
        <w:pStyle w:val="Default"/>
        <w:jc w:val="center"/>
        <w:rPr>
          <w:b/>
          <w:bCs/>
          <w:color w:val="auto"/>
        </w:rPr>
      </w:pPr>
      <w:r w:rsidRPr="00F7314C">
        <w:rPr>
          <w:b/>
          <w:bCs/>
          <w:color w:val="auto"/>
        </w:rPr>
        <w:t>Natalia Guzmán</w:t>
      </w:r>
    </w:p>
    <w:p w14:paraId="34D6C68C" w14:textId="77777777" w:rsidR="004251DF" w:rsidRPr="00F7314C" w:rsidRDefault="004251DF" w:rsidP="004251DF">
      <w:pPr>
        <w:pStyle w:val="Default"/>
        <w:jc w:val="center"/>
        <w:rPr>
          <w:color w:val="auto"/>
        </w:rPr>
      </w:pPr>
      <w:r w:rsidRPr="00F7314C">
        <w:rPr>
          <w:b/>
          <w:bCs/>
          <w:color w:val="auto"/>
        </w:rPr>
        <w:t>Cristian Camilo Niño</w:t>
      </w:r>
    </w:p>
    <w:p w14:paraId="2E8BAACC" w14:textId="77777777" w:rsidR="004251DF" w:rsidRPr="00F7314C" w:rsidRDefault="004251DF" w:rsidP="004251DF">
      <w:pPr>
        <w:spacing w:after="0" w:line="240" w:lineRule="auto"/>
        <w:jc w:val="center"/>
        <w:rPr>
          <w:rFonts w:ascii="Arial" w:hAnsi="Arial" w:cs="Arial"/>
          <w:b/>
          <w:sz w:val="24"/>
          <w:szCs w:val="24"/>
          <w:lang w:val="es-MX"/>
        </w:rPr>
      </w:pPr>
    </w:p>
    <w:p w14:paraId="3F2427F4" w14:textId="77777777" w:rsidR="004251DF" w:rsidRPr="00F7314C" w:rsidRDefault="004251DF" w:rsidP="004251DF">
      <w:pPr>
        <w:spacing w:after="0" w:line="240" w:lineRule="auto"/>
        <w:jc w:val="center"/>
        <w:rPr>
          <w:rFonts w:ascii="Arial" w:hAnsi="Arial" w:cs="Arial"/>
          <w:b/>
          <w:sz w:val="24"/>
          <w:szCs w:val="24"/>
          <w:lang w:val="es-MX"/>
        </w:rPr>
      </w:pPr>
      <w:r w:rsidRPr="00F7314C">
        <w:rPr>
          <w:rFonts w:ascii="Arial" w:hAnsi="Arial" w:cs="Arial"/>
          <w:b/>
          <w:sz w:val="24"/>
          <w:szCs w:val="24"/>
          <w:lang w:val="es-MX"/>
        </w:rPr>
        <w:t>Coordinadores</w:t>
      </w:r>
    </w:p>
    <w:p w14:paraId="691D9F4B" w14:textId="77777777" w:rsidR="004251DF" w:rsidRPr="00F7314C" w:rsidRDefault="004251DF" w:rsidP="004251DF">
      <w:pPr>
        <w:pStyle w:val="Default"/>
        <w:jc w:val="center"/>
        <w:rPr>
          <w:b/>
          <w:bCs/>
          <w:color w:val="auto"/>
        </w:rPr>
      </w:pPr>
    </w:p>
    <w:p w14:paraId="3074F06A" w14:textId="3E9E4F91" w:rsidR="004251DF" w:rsidRPr="00F7314C" w:rsidRDefault="000F4EA3" w:rsidP="004251DF">
      <w:pPr>
        <w:pStyle w:val="Default"/>
        <w:jc w:val="center"/>
        <w:rPr>
          <w:b/>
          <w:bCs/>
          <w:color w:val="auto"/>
        </w:rPr>
      </w:pPr>
      <w:r>
        <w:rPr>
          <w:b/>
          <w:bCs/>
          <w:color w:val="auto"/>
        </w:rPr>
        <w:t>Mercedes Salazar</w:t>
      </w:r>
    </w:p>
    <w:p w14:paraId="1137E921" w14:textId="137CB08E" w:rsidR="004251DF" w:rsidRDefault="00211E67" w:rsidP="004251DF">
      <w:pPr>
        <w:pStyle w:val="Default"/>
        <w:jc w:val="center"/>
        <w:rPr>
          <w:b/>
          <w:bCs/>
          <w:color w:val="auto"/>
        </w:rPr>
      </w:pPr>
      <w:r>
        <w:rPr>
          <w:b/>
          <w:bCs/>
          <w:color w:val="auto"/>
        </w:rPr>
        <w:t>Gabriel Romero</w:t>
      </w:r>
    </w:p>
    <w:p w14:paraId="318DFB53" w14:textId="3BB442D4" w:rsidR="001B1EE5" w:rsidRDefault="001B1EE5" w:rsidP="004251DF">
      <w:pPr>
        <w:pStyle w:val="Default"/>
        <w:jc w:val="center"/>
        <w:rPr>
          <w:b/>
          <w:bCs/>
          <w:color w:val="auto"/>
        </w:rPr>
      </w:pPr>
    </w:p>
    <w:p w14:paraId="0D7488C0" w14:textId="1A800B10" w:rsidR="001B1EE5" w:rsidRDefault="001B1EE5" w:rsidP="004251DF">
      <w:pPr>
        <w:pStyle w:val="Default"/>
        <w:jc w:val="center"/>
        <w:rPr>
          <w:b/>
          <w:bCs/>
          <w:color w:val="auto"/>
        </w:rPr>
      </w:pPr>
      <w:r>
        <w:rPr>
          <w:b/>
          <w:bCs/>
          <w:color w:val="auto"/>
        </w:rPr>
        <w:t>Experto Comisionado líder</w:t>
      </w:r>
    </w:p>
    <w:p w14:paraId="3D351F42" w14:textId="06B6B91B" w:rsidR="001B1EE5" w:rsidRDefault="001B1EE5" w:rsidP="004251DF">
      <w:pPr>
        <w:pStyle w:val="Default"/>
        <w:jc w:val="center"/>
        <w:rPr>
          <w:b/>
          <w:bCs/>
          <w:color w:val="auto"/>
        </w:rPr>
      </w:pPr>
    </w:p>
    <w:p w14:paraId="2AE7F376" w14:textId="369BAD90" w:rsidR="001B1EE5" w:rsidRPr="00F7314C" w:rsidRDefault="001B1EE5" w:rsidP="004251DF">
      <w:pPr>
        <w:pStyle w:val="Default"/>
        <w:jc w:val="center"/>
        <w:rPr>
          <w:color w:val="auto"/>
        </w:rPr>
      </w:pPr>
      <w:r>
        <w:rPr>
          <w:b/>
          <w:bCs/>
          <w:color w:val="auto"/>
        </w:rPr>
        <w:t>Dr. Javier Moreno</w:t>
      </w:r>
    </w:p>
    <w:p w14:paraId="28F74991" w14:textId="77777777" w:rsidR="00567444" w:rsidRPr="00744C19" w:rsidRDefault="00567444" w:rsidP="005E44BF">
      <w:pPr>
        <w:spacing w:after="0" w:line="240" w:lineRule="auto"/>
        <w:jc w:val="center"/>
        <w:rPr>
          <w:rFonts w:ascii="Arial" w:hAnsi="Arial" w:cs="Arial"/>
          <w:b/>
          <w:sz w:val="24"/>
          <w:lang w:val="es-MX"/>
        </w:rPr>
      </w:pPr>
    </w:p>
    <w:p w14:paraId="21AFE57E" w14:textId="77777777" w:rsidR="00567444" w:rsidRPr="00744C19" w:rsidRDefault="00567444" w:rsidP="005E44BF">
      <w:pPr>
        <w:spacing w:after="0" w:line="240" w:lineRule="auto"/>
        <w:jc w:val="center"/>
        <w:rPr>
          <w:rFonts w:ascii="Arial" w:hAnsi="Arial" w:cs="Arial"/>
          <w:b/>
          <w:lang w:val="es-MX"/>
        </w:rPr>
      </w:pPr>
    </w:p>
    <w:p w14:paraId="7403E26B" w14:textId="77777777" w:rsidR="00567444" w:rsidRPr="00744C19" w:rsidRDefault="00567444" w:rsidP="005E44BF">
      <w:pPr>
        <w:spacing w:after="0" w:line="240" w:lineRule="auto"/>
        <w:jc w:val="center"/>
        <w:rPr>
          <w:rFonts w:ascii="Arial" w:hAnsi="Arial" w:cs="Arial"/>
          <w:b/>
          <w:lang w:val="es-MX"/>
        </w:rPr>
      </w:pPr>
    </w:p>
    <w:p w14:paraId="5412264B" w14:textId="77777777" w:rsidR="00567444" w:rsidRPr="00744C19" w:rsidRDefault="00567444" w:rsidP="005E44BF">
      <w:pPr>
        <w:spacing w:after="0" w:line="240" w:lineRule="auto"/>
        <w:jc w:val="center"/>
        <w:rPr>
          <w:rFonts w:ascii="Arial" w:hAnsi="Arial" w:cs="Arial"/>
          <w:b/>
          <w:lang w:val="es-MX"/>
        </w:rPr>
      </w:pPr>
    </w:p>
    <w:p w14:paraId="5753FC29" w14:textId="77777777" w:rsidR="00567444" w:rsidRPr="00744C19" w:rsidRDefault="00567444" w:rsidP="005E44BF">
      <w:pPr>
        <w:spacing w:after="0" w:line="240" w:lineRule="auto"/>
        <w:jc w:val="center"/>
        <w:rPr>
          <w:rFonts w:ascii="Arial" w:hAnsi="Arial" w:cs="Arial"/>
          <w:b/>
          <w:lang w:val="es-MX"/>
        </w:rPr>
      </w:pPr>
    </w:p>
    <w:p w14:paraId="4BFDA6D5" w14:textId="77777777" w:rsidR="00567444" w:rsidRPr="00744C19" w:rsidRDefault="00567444" w:rsidP="005E44BF">
      <w:pPr>
        <w:spacing w:after="0" w:line="240" w:lineRule="auto"/>
        <w:jc w:val="center"/>
        <w:rPr>
          <w:rFonts w:ascii="Arial" w:hAnsi="Arial" w:cs="Arial"/>
          <w:b/>
          <w:lang w:val="es-MX"/>
        </w:rPr>
      </w:pPr>
    </w:p>
    <w:p w14:paraId="5CF60F78" w14:textId="77777777" w:rsidR="00567444" w:rsidRPr="00744C19" w:rsidRDefault="00567444" w:rsidP="005E44BF">
      <w:pPr>
        <w:spacing w:after="0" w:line="240" w:lineRule="auto"/>
        <w:jc w:val="center"/>
        <w:rPr>
          <w:rFonts w:ascii="Arial" w:hAnsi="Arial" w:cs="Arial"/>
          <w:b/>
          <w:lang w:val="es-MX"/>
        </w:rPr>
      </w:pPr>
    </w:p>
    <w:p w14:paraId="66BC637B" w14:textId="77777777" w:rsidR="00567444" w:rsidRPr="00744C19" w:rsidRDefault="00567444" w:rsidP="005E44BF">
      <w:pPr>
        <w:spacing w:after="0" w:line="240" w:lineRule="auto"/>
        <w:jc w:val="center"/>
        <w:rPr>
          <w:rFonts w:ascii="Arial" w:hAnsi="Arial" w:cs="Arial"/>
          <w:b/>
          <w:lang w:val="es-MX"/>
        </w:rPr>
      </w:pPr>
    </w:p>
    <w:p w14:paraId="64414D4F" w14:textId="77777777" w:rsidR="00567444" w:rsidRPr="00744C19" w:rsidRDefault="00567444" w:rsidP="005E44BF">
      <w:pPr>
        <w:spacing w:after="0" w:line="240" w:lineRule="auto"/>
        <w:jc w:val="center"/>
        <w:rPr>
          <w:rFonts w:ascii="Arial" w:hAnsi="Arial" w:cs="Arial"/>
          <w:b/>
          <w:lang w:val="es-MX"/>
        </w:rPr>
      </w:pPr>
    </w:p>
    <w:p w14:paraId="383FB18E" w14:textId="77777777" w:rsidR="006D0C80" w:rsidRPr="00744C19" w:rsidRDefault="006D0C80" w:rsidP="005E44BF">
      <w:pPr>
        <w:spacing w:after="0" w:line="240" w:lineRule="auto"/>
        <w:jc w:val="center"/>
        <w:rPr>
          <w:rFonts w:ascii="Arial" w:hAnsi="Arial" w:cs="Arial"/>
          <w:b/>
          <w:lang w:val="es-MX"/>
        </w:rPr>
      </w:pPr>
    </w:p>
    <w:p w14:paraId="7E8B76F7" w14:textId="77777777" w:rsidR="006D0C80" w:rsidRPr="00744C19" w:rsidRDefault="006D0C80" w:rsidP="005E44BF">
      <w:pPr>
        <w:spacing w:after="0" w:line="240" w:lineRule="auto"/>
        <w:jc w:val="center"/>
        <w:rPr>
          <w:rFonts w:ascii="Arial" w:hAnsi="Arial" w:cs="Arial"/>
          <w:b/>
          <w:lang w:val="es-MX"/>
        </w:rPr>
      </w:pPr>
    </w:p>
    <w:p w14:paraId="475FCE87" w14:textId="77777777" w:rsidR="00567444" w:rsidRDefault="00567444" w:rsidP="005E44BF">
      <w:pPr>
        <w:spacing w:after="0" w:line="240" w:lineRule="auto"/>
        <w:jc w:val="center"/>
        <w:rPr>
          <w:rFonts w:ascii="Arial" w:hAnsi="Arial" w:cs="Arial"/>
          <w:b/>
          <w:lang w:val="es-MX"/>
        </w:rPr>
      </w:pPr>
    </w:p>
    <w:p w14:paraId="4182E0FE" w14:textId="77777777" w:rsidR="00E769FC" w:rsidRPr="00744C19" w:rsidRDefault="00E769FC" w:rsidP="005E44BF">
      <w:pPr>
        <w:spacing w:after="0" w:line="240" w:lineRule="auto"/>
        <w:jc w:val="center"/>
        <w:rPr>
          <w:rFonts w:ascii="Arial" w:hAnsi="Arial" w:cs="Arial"/>
          <w:b/>
          <w:lang w:val="es-MX"/>
        </w:rPr>
      </w:pPr>
    </w:p>
    <w:p w14:paraId="54FE42D8" w14:textId="77777777" w:rsidR="00567444" w:rsidRPr="00744C19" w:rsidRDefault="00567444" w:rsidP="005E44BF">
      <w:pPr>
        <w:spacing w:after="0" w:line="240" w:lineRule="auto"/>
        <w:jc w:val="center"/>
        <w:rPr>
          <w:rFonts w:ascii="Arial" w:hAnsi="Arial" w:cs="Arial"/>
          <w:b/>
          <w:lang w:val="es-MX"/>
        </w:rPr>
      </w:pPr>
    </w:p>
    <w:p w14:paraId="395738C1" w14:textId="77777777" w:rsidR="00567444" w:rsidRPr="00744C19" w:rsidRDefault="00567444" w:rsidP="005E44BF">
      <w:pPr>
        <w:spacing w:after="0" w:line="240" w:lineRule="auto"/>
        <w:jc w:val="center"/>
        <w:rPr>
          <w:rFonts w:ascii="Arial" w:hAnsi="Arial" w:cs="Arial"/>
          <w:b/>
          <w:lang w:val="es-MX"/>
        </w:rPr>
      </w:pPr>
    </w:p>
    <w:p w14:paraId="5B07F27F" w14:textId="2CAF2A6F" w:rsidR="00505CEA" w:rsidRDefault="00801F92" w:rsidP="007638AA">
      <w:pPr>
        <w:spacing w:after="0" w:line="240" w:lineRule="auto"/>
        <w:jc w:val="center"/>
        <w:rPr>
          <w:rFonts w:ascii="Arial" w:hAnsi="Arial" w:cs="Arial"/>
          <w:b/>
          <w:lang w:val="es-MX"/>
        </w:rPr>
      </w:pPr>
      <w:r>
        <w:rPr>
          <w:rFonts w:ascii="Arial" w:hAnsi="Arial" w:cs="Arial"/>
          <w:b/>
          <w:sz w:val="24"/>
          <w:lang w:val="es-MX"/>
        </w:rPr>
        <w:t>Febrero</w:t>
      </w:r>
      <w:r w:rsidR="00567444" w:rsidRPr="004251DF">
        <w:rPr>
          <w:rFonts w:ascii="Arial" w:hAnsi="Arial" w:cs="Arial"/>
          <w:b/>
          <w:sz w:val="24"/>
          <w:lang w:val="es-MX"/>
        </w:rPr>
        <w:t xml:space="preserve"> de</w:t>
      </w:r>
      <w:r w:rsidR="002A5D0E" w:rsidRPr="004251DF">
        <w:rPr>
          <w:rFonts w:ascii="Arial" w:hAnsi="Arial" w:cs="Arial"/>
          <w:b/>
          <w:sz w:val="24"/>
          <w:lang w:val="es-MX"/>
        </w:rPr>
        <w:t xml:space="preserve"> </w:t>
      </w:r>
      <w:r w:rsidR="006013CE" w:rsidRPr="004251DF">
        <w:rPr>
          <w:rFonts w:ascii="Arial" w:hAnsi="Arial" w:cs="Arial"/>
          <w:b/>
          <w:sz w:val="24"/>
          <w:lang w:val="es-MX"/>
        </w:rPr>
        <w:t>20</w:t>
      </w:r>
      <w:r>
        <w:rPr>
          <w:rFonts w:ascii="Arial" w:hAnsi="Arial" w:cs="Arial"/>
          <w:b/>
          <w:sz w:val="24"/>
          <w:lang w:val="es-MX"/>
        </w:rPr>
        <w:t>18</w:t>
      </w:r>
      <w:r w:rsidR="007638AA" w:rsidRPr="00744C19">
        <w:rPr>
          <w:rFonts w:ascii="Arial" w:hAnsi="Arial" w:cs="Arial"/>
          <w:b/>
          <w:lang w:val="es-MX"/>
        </w:rPr>
        <w:br w:type="page"/>
      </w:r>
    </w:p>
    <w:p w14:paraId="5AEEE094" w14:textId="77777777" w:rsidR="00505CEA" w:rsidRDefault="00505CEA" w:rsidP="007638AA">
      <w:pPr>
        <w:spacing w:after="0" w:line="240" w:lineRule="auto"/>
        <w:jc w:val="center"/>
        <w:rPr>
          <w:rFonts w:ascii="Arial" w:hAnsi="Arial" w:cs="Arial"/>
          <w:b/>
          <w:lang w:val="es-MX"/>
        </w:rPr>
      </w:pPr>
    </w:p>
    <w:p w14:paraId="192A83EE" w14:textId="77777777" w:rsidR="007638AA" w:rsidRPr="00744C19" w:rsidRDefault="007638AA" w:rsidP="007638AA">
      <w:pPr>
        <w:spacing w:after="0" w:line="240" w:lineRule="auto"/>
        <w:jc w:val="center"/>
        <w:rPr>
          <w:rFonts w:ascii="Arial" w:hAnsi="Arial" w:cs="Arial"/>
          <w:sz w:val="20"/>
          <w:szCs w:val="20"/>
          <w:lang w:val="es-MX"/>
        </w:rPr>
      </w:pPr>
      <w:r w:rsidRPr="00744C19">
        <w:rPr>
          <w:rFonts w:ascii="Arial" w:hAnsi="Arial" w:cs="Arial"/>
          <w:b/>
          <w:sz w:val="20"/>
          <w:szCs w:val="20"/>
          <w:lang w:val="es-MX"/>
        </w:rPr>
        <w:t>CONTENIDO</w:t>
      </w:r>
      <w:r w:rsidR="004953A2" w:rsidRPr="00744C19">
        <w:rPr>
          <w:rFonts w:ascii="Arial" w:hAnsi="Arial" w:cs="Arial"/>
          <w:b/>
          <w:sz w:val="20"/>
          <w:szCs w:val="20"/>
          <w:lang w:val="es-MX"/>
        </w:rPr>
        <w:t xml:space="preserve"> </w:t>
      </w:r>
    </w:p>
    <w:p w14:paraId="0F140619" w14:textId="77777777" w:rsidR="007638AA" w:rsidRDefault="007638AA" w:rsidP="003B4E46">
      <w:pPr>
        <w:spacing w:after="0" w:line="360" w:lineRule="auto"/>
        <w:jc w:val="both"/>
        <w:rPr>
          <w:rFonts w:ascii="Arial" w:hAnsi="Arial" w:cs="Arial"/>
          <w:sz w:val="20"/>
          <w:szCs w:val="20"/>
          <w:lang w:val="es-MX"/>
        </w:rPr>
      </w:pPr>
    </w:p>
    <w:p w14:paraId="7BBC0875" w14:textId="1A86997A" w:rsidR="009C2D53" w:rsidRDefault="00572971">
      <w:pPr>
        <w:pStyle w:val="TDC1"/>
        <w:rPr>
          <w:rFonts w:asciiTheme="minorHAnsi" w:eastAsiaTheme="minorEastAsia" w:hAnsiTheme="minorHAnsi" w:cstheme="minorBidi"/>
          <w:b w:val="0"/>
          <w:bCs w:val="0"/>
          <w:i w:val="0"/>
          <w:iCs w:val="0"/>
          <w:sz w:val="22"/>
          <w:szCs w:val="22"/>
          <w:lang w:val="es-CO" w:eastAsia="es-CO"/>
        </w:rPr>
      </w:pPr>
      <w:r w:rsidRPr="00604CC6">
        <w:rPr>
          <w:b w:val="0"/>
          <w:i w:val="0"/>
        </w:rPr>
        <w:fldChar w:fldCharType="begin"/>
      </w:r>
      <w:r w:rsidRPr="00604CC6">
        <w:rPr>
          <w:b w:val="0"/>
          <w:i w:val="0"/>
        </w:rPr>
        <w:instrText xml:space="preserve"> TOC \o "1-3" \h \z \u </w:instrText>
      </w:r>
      <w:r w:rsidRPr="00604CC6">
        <w:rPr>
          <w:b w:val="0"/>
          <w:i w:val="0"/>
        </w:rPr>
        <w:fldChar w:fldCharType="separate"/>
      </w:r>
      <w:hyperlink w:anchor="_Toc506988575" w:history="1">
        <w:r w:rsidR="009C2D53" w:rsidRPr="00CB492D">
          <w:rPr>
            <w:rStyle w:val="Hipervnculo"/>
            <w:lang w:val="es-MX"/>
          </w:rPr>
          <w:t>1.</w:t>
        </w:r>
        <w:r w:rsidR="009C2D53">
          <w:rPr>
            <w:rFonts w:asciiTheme="minorHAnsi" w:eastAsiaTheme="minorEastAsia" w:hAnsiTheme="minorHAnsi" w:cstheme="minorBidi"/>
            <w:b w:val="0"/>
            <w:bCs w:val="0"/>
            <w:i w:val="0"/>
            <w:iCs w:val="0"/>
            <w:sz w:val="22"/>
            <w:szCs w:val="22"/>
            <w:lang w:val="es-CO" w:eastAsia="es-CO"/>
          </w:rPr>
          <w:tab/>
        </w:r>
        <w:r w:rsidR="009C2D53" w:rsidRPr="00CB492D">
          <w:rPr>
            <w:rStyle w:val="Hipervnculo"/>
            <w:lang w:val="es-MX"/>
          </w:rPr>
          <w:t>PROCESO DE PARTICIPACIÓN</w:t>
        </w:r>
        <w:r w:rsidR="009C2D53">
          <w:rPr>
            <w:webHidden/>
          </w:rPr>
          <w:tab/>
        </w:r>
        <w:r w:rsidR="009C2D53">
          <w:rPr>
            <w:webHidden/>
          </w:rPr>
          <w:fldChar w:fldCharType="begin"/>
        </w:r>
        <w:r w:rsidR="009C2D53">
          <w:rPr>
            <w:webHidden/>
          </w:rPr>
          <w:instrText xml:space="preserve"> PAGEREF _Toc506988575 \h </w:instrText>
        </w:r>
        <w:r w:rsidR="009C2D53">
          <w:rPr>
            <w:webHidden/>
          </w:rPr>
        </w:r>
        <w:r w:rsidR="009C2D53">
          <w:rPr>
            <w:webHidden/>
          </w:rPr>
          <w:fldChar w:fldCharType="separate"/>
        </w:r>
        <w:r w:rsidR="009C2D53">
          <w:rPr>
            <w:webHidden/>
          </w:rPr>
          <w:t>4</w:t>
        </w:r>
        <w:r w:rsidR="009C2D53">
          <w:rPr>
            <w:webHidden/>
          </w:rPr>
          <w:fldChar w:fldCharType="end"/>
        </w:r>
      </w:hyperlink>
    </w:p>
    <w:p w14:paraId="779D69A9" w14:textId="7FDA04B0" w:rsidR="009C2D53" w:rsidRDefault="00122B06">
      <w:pPr>
        <w:pStyle w:val="TDC1"/>
        <w:rPr>
          <w:rFonts w:asciiTheme="minorHAnsi" w:eastAsiaTheme="minorEastAsia" w:hAnsiTheme="minorHAnsi" w:cstheme="minorBidi"/>
          <w:b w:val="0"/>
          <w:bCs w:val="0"/>
          <w:i w:val="0"/>
          <w:iCs w:val="0"/>
          <w:sz w:val="22"/>
          <w:szCs w:val="22"/>
          <w:lang w:val="es-CO" w:eastAsia="es-CO"/>
        </w:rPr>
      </w:pPr>
      <w:hyperlink w:anchor="_Toc506988576" w:history="1">
        <w:r w:rsidR="009C2D53" w:rsidRPr="00CB492D">
          <w:rPr>
            <w:rStyle w:val="Hipervnculo"/>
            <w:lang w:val="es-MX"/>
          </w:rPr>
          <w:t>2.</w:t>
        </w:r>
        <w:r w:rsidR="009C2D53">
          <w:rPr>
            <w:rFonts w:asciiTheme="minorHAnsi" w:eastAsiaTheme="minorEastAsia" w:hAnsiTheme="minorHAnsi" w:cstheme="minorBidi"/>
            <w:b w:val="0"/>
            <w:bCs w:val="0"/>
            <w:i w:val="0"/>
            <w:iCs w:val="0"/>
            <w:sz w:val="22"/>
            <w:szCs w:val="22"/>
            <w:lang w:val="es-CO" w:eastAsia="es-CO"/>
          </w:rPr>
          <w:tab/>
        </w:r>
        <w:r w:rsidR="009C2D53" w:rsidRPr="00CB492D">
          <w:rPr>
            <w:rStyle w:val="Hipervnculo"/>
            <w:lang w:val="es-MX"/>
          </w:rPr>
          <w:t>EJES TEMÁTICOS</w:t>
        </w:r>
        <w:r w:rsidR="009C2D53">
          <w:rPr>
            <w:webHidden/>
          </w:rPr>
          <w:tab/>
        </w:r>
        <w:r w:rsidR="009C2D53">
          <w:rPr>
            <w:webHidden/>
          </w:rPr>
          <w:fldChar w:fldCharType="begin"/>
        </w:r>
        <w:r w:rsidR="009C2D53">
          <w:rPr>
            <w:webHidden/>
          </w:rPr>
          <w:instrText xml:space="preserve"> PAGEREF _Toc506988576 \h </w:instrText>
        </w:r>
        <w:r w:rsidR="009C2D53">
          <w:rPr>
            <w:webHidden/>
          </w:rPr>
        </w:r>
        <w:r w:rsidR="009C2D53">
          <w:rPr>
            <w:webHidden/>
          </w:rPr>
          <w:fldChar w:fldCharType="separate"/>
        </w:r>
        <w:r w:rsidR="009C2D53">
          <w:rPr>
            <w:webHidden/>
          </w:rPr>
          <w:t>5</w:t>
        </w:r>
        <w:r w:rsidR="009C2D53">
          <w:rPr>
            <w:webHidden/>
          </w:rPr>
          <w:fldChar w:fldCharType="end"/>
        </w:r>
      </w:hyperlink>
    </w:p>
    <w:p w14:paraId="6CEB6DA8" w14:textId="18245CBE" w:rsidR="009C2D53" w:rsidRDefault="00122B06">
      <w:pPr>
        <w:pStyle w:val="TDC1"/>
        <w:rPr>
          <w:rFonts w:asciiTheme="minorHAnsi" w:eastAsiaTheme="minorEastAsia" w:hAnsiTheme="minorHAnsi" w:cstheme="minorBidi"/>
          <w:b w:val="0"/>
          <w:bCs w:val="0"/>
          <w:i w:val="0"/>
          <w:iCs w:val="0"/>
          <w:sz w:val="22"/>
          <w:szCs w:val="22"/>
          <w:lang w:val="es-CO" w:eastAsia="es-CO"/>
        </w:rPr>
      </w:pPr>
      <w:hyperlink w:anchor="_Toc506988577" w:history="1">
        <w:r w:rsidR="009C2D53" w:rsidRPr="00CB492D">
          <w:rPr>
            <w:rStyle w:val="Hipervnculo"/>
            <w:lang w:val="es-MX"/>
          </w:rPr>
          <w:t>3.</w:t>
        </w:r>
        <w:r w:rsidR="009C2D53">
          <w:rPr>
            <w:rFonts w:asciiTheme="minorHAnsi" w:eastAsiaTheme="minorEastAsia" w:hAnsiTheme="minorHAnsi" w:cstheme="minorBidi"/>
            <w:b w:val="0"/>
            <w:bCs w:val="0"/>
            <w:i w:val="0"/>
            <w:iCs w:val="0"/>
            <w:sz w:val="22"/>
            <w:szCs w:val="22"/>
            <w:lang w:val="es-CO" w:eastAsia="es-CO"/>
          </w:rPr>
          <w:tab/>
        </w:r>
        <w:r w:rsidR="009C2D53" w:rsidRPr="00CB492D">
          <w:rPr>
            <w:rStyle w:val="Hipervnculo"/>
            <w:lang w:val="es-MX"/>
          </w:rPr>
          <w:t>OBSERVACIONES RECIBIDAS</w:t>
        </w:r>
        <w:r w:rsidR="009C2D53">
          <w:rPr>
            <w:webHidden/>
          </w:rPr>
          <w:tab/>
        </w:r>
        <w:r w:rsidR="009C2D53">
          <w:rPr>
            <w:webHidden/>
          </w:rPr>
          <w:fldChar w:fldCharType="begin"/>
        </w:r>
        <w:r w:rsidR="009C2D53">
          <w:rPr>
            <w:webHidden/>
          </w:rPr>
          <w:instrText xml:space="preserve"> PAGEREF _Toc506988577 \h </w:instrText>
        </w:r>
        <w:r w:rsidR="009C2D53">
          <w:rPr>
            <w:webHidden/>
          </w:rPr>
        </w:r>
        <w:r w:rsidR="009C2D53">
          <w:rPr>
            <w:webHidden/>
          </w:rPr>
          <w:fldChar w:fldCharType="separate"/>
        </w:r>
        <w:r w:rsidR="009C2D53">
          <w:rPr>
            <w:webHidden/>
          </w:rPr>
          <w:t>5</w:t>
        </w:r>
        <w:r w:rsidR="009C2D53">
          <w:rPr>
            <w:webHidden/>
          </w:rPr>
          <w:fldChar w:fldCharType="end"/>
        </w:r>
      </w:hyperlink>
    </w:p>
    <w:p w14:paraId="1EDAAA36" w14:textId="6D7C1FF8" w:rsidR="009C2D53" w:rsidRDefault="00122B06">
      <w:pPr>
        <w:pStyle w:val="TDC1"/>
        <w:rPr>
          <w:rFonts w:asciiTheme="minorHAnsi" w:eastAsiaTheme="minorEastAsia" w:hAnsiTheme="minorHAnsi" w:cstheme="minorBidi"/>
          <w:b w:val="0"/>
          <w:bCs w:val="0"/>
          <w:i w:val="0"/>
          <w:iCs w:val="0"/>
          <w:sz w:val="22"/>
          <w:szCs w:val="22"/>
          <w:lang w:val="es-CO" w:eastAsia="es-CO"/>
        </w:rPr>
      </w:pPr>
      <w:hyperlink w:anchor="_Toc506988578" w:history="1">
        <w:r w:rsidR="009C2D53" w:rsidRPr="00CB492D">
          <w:rPr>
            <w:rStyle w:val="Hipervnculo"/>
          </w:rPr>
          <w:t>4.</w:t>
        </w:r>
        <w:r w:rsidR="009C2D53">
          <w:rPr>
            <w:rFonts w:asciiTheme="minorHAnsi" w:eastAsiaTheme="minorEastAsia" w:hAnsiTheme="minorHAnsi" w:cstheme="minorBidi"/>
            <w:b w:val="0"/>
            <w:bCs w:val="0"/>
            <w:i w:val="0"/>
            <w:iCs w:val="0"/>
            <w:sz w:val="22"/>
            <w:szCs w:val="22"/>
            <w:lang w:val="es-CO" w:eastAsia="es-CO"/>
          </w:rPr>
          <w:tab/>
        </w:r>
        <w:r w:rsidR="009C2D53" w:rsidRPr="00CB492D">
          <w:rPr>
            <w:rStyle w:val="Hipervnculo"/>
          </w:rPr>
          <w:t>RESPUESTAS DE LAS OBSERVACIONES RECIBIDAS</w:t>
        </w:r>
        <w:r w:rsidR="009C2D53">
          <w:rPr>
            <w:webHidden/>
          </w:rPr>
          <w:tab/>
        </w:r>
        <w:r w:rsidR="009C2D53">
          <w:rPr>
            <w:webHidden/>
          </w:rPr>
          <w:fldChar w:fldCharType="begin"/>
        </w:r>
        <w:r w:rsidR="009C2D53">
          <w:rPr>
            <w:webHidden/>
          </w:rPr>
          <w:instrText xml:space="preserve"> PAGEREF _Toc506988578 \h </w:instrText>
        </w:r>
        <w:r w:rsidR="009C2D53">
          <w:rPr>
            <w:webHidden/>
          </w:rPr>
        </w:r>
        <w:r w:rsidR="009C2D53">
          <w:rPr>
            <w:webHidden/>
          </w:rPr>
          <w:fldChar w:fldCharType="separate"/>
        </w:r>
        <w:r w:rsidR="009C2D53">
          <w:rPr>
            <w:webHidden/>
          </w:rPr>
          <w:t>60</w:t>
        </w:r>
        <w:r w:rsidR="009C2D53">
          <w:rPr>
            <w:webHidden/>
          </w:rPr>
          <w:fldChar w:fldCharType="end"/>
        </w:r>
      </w:hyperlink>
    </w:p>
    <w:p w14:paraId="45C0ADE9" w14:textId="64B8B1B0"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79"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RESPUESTA No.1.  INCLUSIÓN Y EXCLUSIÓN DE EMPRESAS DE LA MUESTRA</w:t>
        </w:r>
        <w:r w:rsidR="009C2D53">
          <w:rPr>
            <w:noProof/>
            <w:webHidden/>
          </w:rPr>
          <w:tab/>
        </w:r>
        <w:r w:rsidR="009C2D53">
          <w:rPr>
            <w:noProof/>
            <w:webHidden/>
          </w:rPr>
          <w:fldChar w:fldCharType="begin"/>
        </w:r>
        <w:r w:rsidR="009C2D53">
          <w:rPr>
            <w:noProof/>
            <w:webHidden/>
          </w:rPr>
          <w:instrText xml:space="preserve"> PAGEREF _Toc506988579 \h </w:instrText>
        </w:r>
        <w:r w:rsidR="009C2D53">
          <w:rPr>
            <w:noProof/>
            <w:webHidden/>
          </w:rPr>
        </w:r>
        <w:r w:rsidR="009C2D53">
          <w:rPr>
            <w:noProof/>
            <w:webHidden/>
          </w:rPr>
          <w:fldChar w:fldCharType="separate"/>
        </w:r>
        <w:r w:rsidR="009C2D53">
          <w:rPr>
            <w:noProof/>
            <w:webHidden/>
          </w:rPr>
          <w:t>60</w:t>
        </w:r>
        <w:r w:rsidR="009C2D53">
          <w:rPr>
            <w:noProof/>
            <w:webHidden/>
          </w:rPr>
          <w:fldChar w:fldCharType="end"/>
        </w:r>
      </w:hyperlink>
    </w:p>
    <w:p w14:paraId="0BDCAAC0" w14:textId="5CCF8193"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80" w:history="1">
        <w:r w:rsidR="009C2D53" w:rsidRPr="00CB492D">
          <w:rPr>
            <w:rStyle w:val="Hipervnculo"/>
            <w:rFonts w:ascii="Symbol" w:hAnsi="Symbol"/>
            <w:noProof/>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RESPUESTA No.2. DATOS ATÍPICOS</w:t>
        </w:r>
        <w:r w:rsidR="009C2D53">
          <w:rPr>
            <w:noProof/>
            <w:webHidden/>
          </w:rPr>
          <w:tab/>
        </w:r>
        <w:r w:rsidR="009C2D53">
          <w:rPr>
            <w:noProof/>
            <w:webHidden/>
          </w:rPr>
          <w:fldChar w:fldCharType="begin"/>
        </w:r>
        <w:r w:rsidR="009C2D53">
          <w:rPr>
            <w:noProof/>
            <w:webHidden/>
          </w:rPr>
          <w:instrText xml:space="preserve"> PAGEREF _Toc506988580 \h </w:instrText>
        </w:r>
        <w:r w:rsidR="009C2D53">
          <w:rPr>
            <w:noProof/>
            <w:webHidden/>
          </w:rPr>
        </w:r>
        <w:r w:rsidR="009C2D53">
          <w:rPr>
            <w:noProof/>
            <w:webHidden/>
          </w:rPr>
          <w:fldChar w:fldCharType="separate"/>
        </w:r>
        <w:r w:rsidR="009C2D53">
          <w:rPr>
            <w:noProof/>
            <w:webHidden/>
          </w:rPr>
          <w:t>62</w:t>
        </w:r>
        <w:r w:rsidR="009C2D53">
          <w:rPr>
            <w:noProof/>
            <w:webHidden/>
          </w:rPr>
          <w:fldChar w:fldCharType="end"/>
        </w:r>
      </w:hyperlink>
    </w:p>
    <w:p w14:paraId="2B8F38D4" w14:textId="0CCF295B"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81" w:history="1">
        <w:r w:rsidR="009C2D53" w:rsidRPr="00CB492D">
          <w:rPr>
            <w:rStyle w:val="Hipervnculo"/>
            <w:rFonts w:ascii="Symbol" w:hAnsi="Symbol"/>
            <w:noProof/>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RESPUESTA No.3. ORIENTACIÓN DEL PROBLEMA</w:t>
        </w:r>
        <w:r w:rsidR="009C2D53">
          <w:rPr>
            <w:noProof/>
            <w:webHidden/>
          </w:rPr>
          <w:tab/>
        </w:r>
        <w:r w:rsidR="009C2D53">
          <w:rPr>
            <w:noProof/>
            <w:webHidden/>
          </w:rPr>
          <w:fldChar w:fldCharType="begin"/>
        </w:r>
        <w:r w:rsidR="009C2D53">
          <w:rPr>
            <w:noProof/>
            <w:webHidden/>
          </w:rPr>
          <w:instrText xml:space="preserve"> PAGEREF _Toc506988581 \h </w:instrText>
        </w:r>
        <w:r w:rsidR="009C2D53">
          <w:rPr>
            <w:noProof/>
            <w:webHidden/>
          </w:rPr>
        </w:r>
        <w:r w:rsidR="009C2D53">
          <w:rPr>
            <w:noProof/>
            <w:webHidden/>
          </w:rPr>
          <w:fldChar w:fldCharType="separate"/>
        </w:r>
        <w:r w:rsidR="009C2D53">
          <w:rPr>
            <w:noProof/>
            <w:webHidden/>
          </w:rPr>
          <w:t>63</w:t>
        </w:r>
        <w:r w:rsidR="009C2D53">
          <w:rPr>
            <w:noProof/>
            <w:webHidden/>
          </w:rPr>
          <w:fldChar w:fldCharType="end"/>
        </w:r>
      </w:hyperlink>
    </w:p>
    <w:p w14:paraId="3083F5E2" w14:textId="111BC227"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82" w:history="1">
        <w:r w:rsidR="009C2D53" w:rsidRPr="00CB492D">
          <w:rPr>
            <w:rStyle w:val="Hipervnculo"/>
            <w:rFonts w:ascii="Symbol" w:hAnsi="Symbol"/>
            <w:noProof/>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RESPUESTA NO.4. REMUNERACIÓN DE ACTIVOS ADMINISTRATIVOS Y OPERATIVOS</w:t>
        </w:r>
        <w:r w:rsidR="009C2D53">
          <w:rPr>
            <w:noProof/>
            <w:webHidden/>
          </w:rPr>
          <w:tab/>
        </w:r>
        <w:r w:rsidR="009C2D53">
          <w:rPr>
            <w:noProof/>
            <w:webHidden/>
          </w:rPr>
          <w:fldChar w:fldCharType="begin"/>
        </w:r>
        <w:r w:rsidR="009C2D53">
          <w:rPr>
            <w:noProof/>
            <w:webHidden/>
          </w:rPr>
          <w:instrText xml:space="preserve"> PAGEREF _Toc506988582 \h </w:instrText>
        </w:r>
        <w:r w:rsidR="009C2D53">
          <w:rPr>
            <w:noProof/>
            <w:webHidden/>
          </w:rPr>
        </w:r>
        <w:r w:rsidR="009C2D53">
          <w:rPr>
            <w:noProof/>
            <w:webHidden/>
          </w:rPr>
          <w:fldChar w:fldCharType="separate"/>
        </w:r>
        <w:r w:rsidR="009C2D53">
          <w:rPr>
            <w:noProof/>
            <w:webHidden/>
          </w:rPr>
          <w:t>65</w:t>
        </w:r>
        <w:r w:rsidR="009C2D53">
          <w:rPr>
            <w:noProof/>
            <w:webHidden/>
          </w:rPr>
          <w:fldChar w:fldCharType="end"/>
        </w:r>
      </w:hyperlink>
    </w:p>
    <w:p w14:paraId="517CA2E9" w14:textId="3DDA1CF3"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83"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 xml:space="preserve">RESPUESTA NO.5. </w:t>
        </w:r>
        <w:r w:rsidR="009C2D53" w:rsidRPr="00CB492D">
          <w:rPr>
            <w:rStyle w:val="Hipervnculo"/>
            <w:noProof/>
            <w:lang w:val="es-CO" w:eastAsia="es-CO"/>
          </w:rPr>
          <w:t>REVISIÓN DE LOS VALORES DE LAS VARIABLES DEL MODELO</w:t>
        </w:r>
        <w:r w:rsidR="009C2D53">
          <w:rPr>
            <w:noProof/>
            <w:webHidden/>
          </w:rPr>
          <w:tab/>
        </w:r>
        <w:r w:rsidR="009C2D53">
          <w:rPr>
            <w:noProof/>
            <w:webHidden/>
          </w:rPr>
          <w:fldChar w:fldCharType="begin"/>
        </w:r>
        <w:r w:rsidR="009C2D53">
          <w:rPr>
            <w:noProof/>
            <w:webHidden/>
          </w:rPr>
          <w:instrText xml:space="preserve"> PAGEREF _Toc506988583 \h </w:instrText>
        </w:r>
        <w:r w:rsidR="009C2D53">
          <w:rPr>
            <w:noProof/>
            <w:webHidden/>
          </w:rPr>
        </w:r>
        <w:r w:rsidR="009C2D53">
          <w:rPr>
            <w:noProof/>
            <w:webHidden/>
          </w:rPr>
          <w:fldChar w:fldCharType="separate"/>
        </w:r>
        <w:r w:rsidR="009C2D53">
          <w:rPr>
            <w:noProof/>
            <w:webHidden/>
          </w:rPr>
          <w:t>66</w:t>
        </w:r>
        <w:r w:rsidR="009C2D53">
          <w:rPr>
            <w:noProof/>
            <w:webHidden/>
          </w:rPr>
          <w:fldChar w:fldCharType="end"/>
        </w:r>
      </w:hyperlink>
    </w:p>
    <w:p w14:paraId="3582AD3F" w14:textId="546A3231"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84"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 xml:space="preserve">RESPUESTA NO.6. </w:t>
        </w:r>
        <w:r w:rsidR="009C2D53" w:rsidRPr="00CB492D">
          <w:rPr>
            <w:rStyle w:val="Hipervnculo"/>
            <w:noProof/>
            <w:lang w:val="es-CO" w:eastAsia="es-CO"/>
          </w:rPr>
          <w:t>RELACIÓN INVERSA DE LAS VARIABLES</w:t>
        </w:r>
        <w:r w:rsidR="009C2D53">
          <w:rPr>
            <w:noProof/>
            <w:webHidden/>
          </w:rPr>
          <w:tab/>
        </w:r>
        <w:r w:rsidR="009C2D53">
          <w:rPr>
            <w:noProof/>
            <w:webHidden/>
          </w:rPr>
          <w:fldChar w:fldCharType="begin"/>
        </w:r>
        <w:r w:rsidR="009C2D53">
          <w:rPr>
            <w:noProof/>
            <w:webHidden/>
          </w:rPr>
          <w:instrText xml:space="preserve"> PAGEREF _Toc506988584 \h </w:instrText>
        </w:r>
        <w:r w:rsidR="009C2D53">
          <w:rPr>
            <w:noProof/>
            <w:webHidden/>
          </w:rPr>
        </w:r>
        <w:r w:rsidR="009C2D53">
          <w:rPr>
            <w:noProof/>
            <w:webHidden/>
          </w:rPr>
          <w:fldChar w:fldCharType="separate"/>
        </w:r>
        <w:r w:rsidR="009C2D53">
          <w:rPr>
            <w:noProof/>
            <w:webHidden/>
          </w:rPr>
          <w:t>70</w:t>
        </w:r>
        <w:r w:rsidR="009C2D53">
          <w:rPr>
            <w:noProof/>
            <w:webHidden/>
          </w:rPr>
          <w:fldChar w:fldCharType="end"/>
        </w:r>
      </w:hyperlink>
    </w:p>
    <w:p w14:paraId="713D133D" w14:textId="6388F48A"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85" w:history="1">
        <w:r w:rsidR="009C2D53" w:rsidRPr="00CB492D">
          <w:rPr>
            <w:rStyle w:val="Hipervnculo"/>
            <w:rFonts w:ascii="Symbol" w:hAnsi="Symbol" w:cs="Aria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rFonts w:cs="Arial"/>
            <w:noProof/>
          </w:rPr>
          <w:t xml:space="preserve">RESPUESTA NO.7. </w:t>
        </w:r>
        <w:r w:rsidR="009C2D53" w:rsidRPr="00CB492D">
          <w:rPr>
            <w:rStyle w:val="Hipervnculo"/>
            <w:rFonts w:cs="Arial"/>
            <w:noProof/>
            <w:lang w:val="es-CO" w:eastAsia="es-CO"/>
          </w:rPr>
          <w:t>PARTICULARIDADES NO CAPTADAS</w:t>
        </w:r>
        <w:r w:rsidR="009C2D53">
          <w:rPr>
            <w:noProof/>
            <w:webHidden/>
          </w:rPr>
          <w:tab/>
        </w:r>
        <w:r w:rsidR="009C2D53">
          <w:rPr>
            <w:noProof/>
            <w:webHidden/>
          </w:rPr>
          <w:fldChar w:fldCharType="begin"/>
        </w:r>
        <w:r w:rsidR="009C2D53">
          <w:rPr>
            <w:noProof/>
            <w:webHidden/>
          </w:rPr>
          <w:instrText xml:space="preserve"> PAGEREF _Toc506988585 \h </w:instrText>
        </w:r>
        <w:r w:rsidR="009C2D53">
          <w:rPr>
            <w:noProof/>
            <w:webHidden/>
          </w:rPr>
        </w:r>
        <w:r w:rsidR="009C2D53">
          <w:rPr>
            <w:noProof/>
            <w:webHidden/>
          </w:rPr>
          <w:fldChar w:fldCharType="separate"/>
        </w:r>
        <w:r w:rsidR="009C2D53">
          <w:rPr>
            <w:noProof/>
            <w:webHidden/>
          </w:rPr>
          <w:t>72</w:t>
        </w:r>
        <w:r w:rsidR="009C2D53">
          <w:rPr>
            <w:noProof/>
            <w:webHidden/>
          </w:rPr>
          <w:fldChar w:fldCharType="end"/>
        </w:r>
      </w:hyperlink>
    </w:p>
    <w:p w14:paraId="4F1804B1" w14:textId="44FD18AF"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86"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 xml:space="preserve">RESPUESTA NO.8. </w:t>
        </w:r>
        <w:r w:rsidR="009C2D53" w:rsidRPr="00CB492D">
          <w:rPr>
            <w:rStyle w:val="Hipervnculo"/>
            <w:noProof/>
            <w:lang w:val="es-CO" w:eastAsia="es-CO"/>
          </w:rPr>
          <w:t>AJUSTE A LA FÓRMULA TARIFARIA</w:t>
        </w:r>
        <w:r w:rsidR="009C2D53">
          <w:rPr>
            <w:noProof/>
            <w:webHidden/>
          </w:rPr>
          <w:tab/>
        </w:r>
        <w:r w:rsidR="009C2D53">
          <w:rPr>
            <w:noProof/>
            <w:webHidden/>
          </w:rPr>
          <w:fldChar w:fldCharType="begin"/>
        </w:r>
        <w:r w:rsidR="009C2D53">
          <w:rPr>
            <w:noProof/>
            <w:webHidden/>
          </w:rPr>
          <w:instrText xml:space="preserve"> PAGEREF _Toc506988586 \h </w:instrText>
        </w:r>
        <w:r w:rsidR="009C2D53">
          <w:rPr>
            <w:noProof/>
            <w:webHidden/>
          </w:rPr>
        </w:r>
        <w:r w:rsidR="009C2D53">
          <w:rPr>
            <w:noProof/>
            <w:webHidden/>
          </w:rPr>
          <w:fldChar w:fldCharType="separate"/>
        </w:r>
        <w:r w:rsidR="009C2D53">
          <w:rPr>
            <w:noProof/>
            <w:webHidden/>
          </w:rPr>
          <w:t>74</w:t>
        </w:r>
        <w:r w:rsidR="009C2D53">
          <w:rPr>
            <w:noProof/>
            <w:webHidden/>
          </w:rPr>
          <w:fldChar w:fldCharType="end"/>
        </w:r>
      </w:hyperlink>
    </w:p>
    <w:p w14:paraId="6778EC1D" w14:textId="10D84F86"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87"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 xml:space="preserve">RESPUESTA NO.9. </w:t>
        </w:r>
        <w:r w:rsidR="009C2D53" w:rsidRPr="00CB492D">
          <w:rPr>
            <w:rStyle w:val="Hipervnculo"/>
            <w:noProof/>
            <w:lang w:val="es-CO" w:eastAsia="es-CO"/>
          </w:rPr>
          <w:t>IMPACTOS EN LAS EMPRESAS QUE NO ENTRAN EN LA MUESTRA</w:t>
        </w:r>
        <w:r w:rsidR="009C2D53">
          <w:rPr>
            <w:noProof/>
            <w:webHidden/>
          </w:rPr>
          <w:tab/>
        </w:r>
        <w:r w:rsidR="009C2D53">
          <w:rPr>
            <w:noProof/>
            <w:webHidden/>
          </w:rPr>
          <w:fldChar w:fldCharType="begin"/>
        </w:r>
        <w:r w:rsidR="009C2D53">
          <w:rPr>
            <w:noProof/>
            <w:webHidden/>
          </w:rPr>
          <w:instrText xml:space="preserve"> PAGEREF _Toc506988587 \h </w:instrText>
        </w:r>
        <w:r w:rsidR="009C2D53">
          <w:rPr>
            <w:noProof/>
            <w:webHidden/>
          </w:rPr>
        </w:r>
        <w:r w:rsidR="009C2D53">
          <w:rPr>
            <w:noProof/>
            <w:webHidden/>
          </w:rPr>
          <w:fldChar w:fldCharType="separate"/>
        </w:r>
        <w:r w:rsidR="009C2D53">
          <w:rPr>
            <w:noProof/>
            <w:webHidden/>
          </w:rPr>
          <w:t>75</w:t>
        </w:r>
        <w:r w:rsidR="009C2D53">
          <w:rPr>
            <w:noProof/>
            <w:webHidden/>
          </w:rPr>
          <w:fldChar w:fldCharType="end"/>
        </w:r>
      </w:hyperlink>
    </w:p>
    <w:p w14:paraId="2507115E" w14:textId="7DE82FEA"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88" w:history="1">
        <w:r w:rsidR="009C2D53" w:rsidRPr="00CB492D">
          <w:rPr>
            <w:rStyle w:val="Hipervnculo"/>
            <w:rFonts w:ascii="Symbol" w:hAnsi="Symbol" w:cs="Aria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rFonts w:cs="Arial"/>
            <w:noProof/>
          </w:rPr>
          <w:t xml:space="preserve">RESPUESTA NO.10. </w:t>
        </w:r>
        <w:r w:rsidR="009C2D53" w:rsidRPr="00CB492D">
          <w:rPr>
            <w:rStyle w:val="Hipervnculo"/>
            <w:rFonts w:cs="Arial"/>
            <w:noProof/>
            <w:lang w:val="es-CO" w:eastAsia="es-CO"/>
          </w:rPr>
          <w:t>PUBLICACIÓN DE PUNTAJES Y DEL DETALLE DE LOS CÁLCULOS</w:t>
        </w:r>
        <w:r w:rsidR="009C2D53">
          <w:rPr>
            <w:noProof/>
            <w:webHidden/>
          </w:rPr>
          <w:tab/>
        </w:r>
        <w:r w:rsidR="009C2D53">
          <w:rPr>
            <w:noProof/>
            <w:webHidden/>
          </w:rPr>
          <w:fldChar w:fldCharType="begin"/>
        </w:r>
        <w:r w:rsidR="009C2D53">
          <w:rPr>
            <w:noProof/>
            <w:webHidden/>
          </w:rPr>
          <w:instrText xml:space="preserve"> PAGEREF _Toc506988588 \h </w:instrText>
        </w:r>
        <w:r w:rsidR="009C2D53">
          <w:rPr>
            <w:noProof/>
            <w:webHidden/>
          </w:rPr>
        </w:r>
        <w:r w:rsidR="009C2D53">
          <w:rPr>
            <w:noProof/>
            <w:webHidden/>
          </w:rPr>
          <w:fldChar w:fldCharType="separate"/>
        </w:r>
        <w:r w:rsidR="009C2D53">
          <w:rPr>
            <w:noProof/>
            <w:webHidden/>
          </w:rPr>
          <w:t>79</w:t>
        </w:r>
        <w:r w:rsidR="009C2D53">
          <w:rPr>
            <w:noProof/>
            <w:webHidden/>
          </w:rPr>
          <w:fldChar w:fldCharType="end"/>
        </w:r>
      </w:hyperlink>
    </w:p>
    <w:p w14:paraId="1B320E27" w14:textId="0B48B8C3"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89" w:history="1">
        <w:r w:rsidR="009C2D53" w:rsidRPr="00CB492D">
          <w:rPr>
            <w:rStyle w:val="Hipervnculo"/>
            <w:rFonts w:ascii="Symbol" w:hAnsi="Symbol" w:cs="Aria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rFonts w:cs="Arial"/>
            <w:noProof/>
          </w:rPr>
          <w:t xml:space="preserve">RESPUESTA NO.11. </w:t>
        </w:r>
        <w:r w:rsidR="009C2D53" w:rsidRPr="00CB492D">
          <w:rPr>
            <w:rStyle w:val="Hipervnculo"/>
            <w:rFonts w:cs="Arial"/>
            <w:noProof/>
            <w:lang w:val="es-CO" w:eastAsia="es-CO"/>
          </w:rPr>
          <w:t>VERIFICACIÓN DE LAS EXCLUSIONES E INCLUSIONES QUE HICIERON LAS EMPRESAS</w:t>
        </w:r>
        <w:r w:rsidR="009C2D53">
          <w:rPr>
            <w:noProof/>
            <w:webHidden/>
          </w:rPr>
          <w:tab/>
        </w:r>
        <w:r w:rsidR="009C2D53">
          <w:rPr>
            <w:noProof/>
            <w:webHidden/>
          </w:rPr>
          <w:fldChar w:fldCharType="begin"/>
        </w:r>
        <w:r w:rsidR="009C2D53">
          <w:rPr>
            <w:noProof/>
            <w:webHidden/>
          </w:rPr>
          <w:instrText xml:space="preserve"> PAGEREF _Toc506988589 \h </w:instrText>
        </w:r>
        <w:r w:rsidR="009C2D53">
          <w:rPr>
            <w:noProof/>
            <w:webHidden/>
          </w:rPr>
        </w:r>
        <w:r w:rsidR="009C2D53">
          <w:rPr>
            <w:noProof/>
            <w:webHidden/>
          </w:rPr>
          <w:fldChar w:fldCharType="separate"/>
        </w:r>
        <w:r w:rsidR="009C2D53">
          <w:rPr>
            <w:noProof/>
            <w:webHidden/>
          </w:rPr>
          <w:t>79</w:t>
        </w:r>
        <w:r w:rsidR="009C2D53">
          <w:rPr>
            <w:noProof/>
            <w:webHidden/>
          </w:rPr>
          <w:fldChar w:fldCharType="end"/>
        </w:r>
      </w:hyperlink>
    </w:p>
    <w:p w14:paraId="6A55C130" w14:textId="3B6B71D1"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90"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 xml:space="preserve">RESPUESTA NO.12. </w:t>
        </w:r>
        <w:r w:rsidR="009C2D53" w:rsidRPr="00CB492D">
          <w:rPr>
            <w:rStyle w:val="Hipervnculo"/>
            <w:noProof/>
            <w:lang w:val="es-CO" w:eastAsia="es-CO"/>
          </w:rPr>
          <w:t>AMPLIACIÓN DEL PLAZO DE PARTICIPACIÓN CIUDADANA</w:t>
        </w:r>
        <w:r w:rsidR="009C2D53">
          <w:rPr>
            <w:noProof/>
            <w:webHidden/>
          </w:rPr>
          <w:tab/>
        </w:r>
        <w:r w:rsidR="009C2D53">
          <w:rPr>
            <w:noProof/>
            <w:webHidden/>
          </w:rPr>
          <w:fldChar w:fldCharType="begin"/>
        </w:r>
        <w:r w:rsidR="009C2D53">
          <w:rPr>
            <w:noProof/>
            <w:webHidden/>
          </w:rPr>
          <w:instrText xml:space="preserve"> PAGEREF _Toc506988590 \h </w:instrText>
        </w:r>
        <w:r w:rsidR="009C2D53">
          <w:rPr>
            <w:noProof/>
            <w:webHidden/>
          </w:rPr>
        </w:r>
        <w:r w:rsidR="009C2D53">
          <w:rPr>
            <w:noProof/>
            <w:webHidden/>
          </w:rPr>
          <w:fldChar w:fldCharType="separate"/>
        </w:r>
        <w:r w:rsidR="009C2D53">
          <w:rPr>
            <w:noProof/>
            <w:webHidden/>
          </w:rPr>
          <w:t>79</w:t>
        </w:r>
        <w:r w:rsidR="009C2D53">
          <w:rPr>
            <w:noProof/>
            <w:webHidden/>
          </w:rPr>
          <w:fldChar w:fldCharType="end"/>
        </w:r>
      </w:hyperlink>
    </w:p>
    <w:p w14:paraId="76E1322A" w14:textId="697E8A85"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91"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 xml:space="preserve">RESPUESTA NO.13. </w:t>
        </w:r>
        <w:r w:rsidR="009C2D53" w:rsidRPr="00CB492D">
          <w:rPr>
            <w:rStyle w:val="Hipervnculo"/>
            <w:noProof/>
            <w:lang w:val="es-CO" w:eastAsia="es-CO"/>
          </w:rPr>
          <w:t>PROCEDIMIENTO DE APLICACIÓN DE LAS NUEVAS TARIFAS</w:t>
        </w:r>
        <w:r w:rsidR="009C2D53">
          <w:rPr>
            <w:noProof/>
            <w:webHidden/>
          </w:rPr>
          <w:tab/>
        </w:r>
        <w:r w:rsidR="009C2D53">
          <w:rPr>
            <w:noProof/>
            <w:webHidden/>
          </w:rPr>
          <w:fldChar w:fldCharType="begin"/>
        </w:r>
        <w:r w:rsidR="009C2D53">
          <w:rPr>
            <w:noProof/>
            <w:webHidden/>
          </w:rPr>
          <w:instrText xml:space="preserve"> PAGEREF _Toc506988591 \h </w:instrText>
        </w:r>
        <w:r w:rsidR="009C2D53">
          <w:rPr>
            <w:noProof/>
            <w:webHidden/>
          </w:rPr>
        </w:r>
        <w:r w:rsidR="009C2D53">
          <w:rPr>
            <w:noProof/>
            <w:webHidden/>
          </w:rPr>
          <w:fldChar w:fldCharType="separate"/>
        </w:r>
        <w:r w:rsidR="009C2D53">
          <w:rPr>
            <w:noProof/>
            <w:webHidden/>
          </w:rPr>
          <w:t>79</w:t>
        </w:r>
        <w:r w:rsidR="009C2D53">
          <w:rPr>
            <w:noProof/>
            <w:webHidden/>
          </w:rPr>
          <w:fldChar w:fldCharType="end"/>
        </w:r>
      </w:hyperlink>
    </w:p>
    <w:p w14:paraId="384E6C65" w14:textId="1B1B0346"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92"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 xml:space="preserve">RESPUESTA NO.14. </w:t>
        </w:r>
        <w:r w:rsidR="009C2D53" w:rsidRPr="00CB492D">
          <w:rPr>
            <w:rStyle w:val="Hipervnculo"/>
            <w:noProof/>
            <w:lang w:val="es-CO" w:eastAsia="es-CO"/>
          </w:rPr>
          <w:t>PLAZO PARA EL CÁLCULO DEL DEA DE LOS QUE NO HACEN PARTE DEL GRUPO BÁSICO</w:t>
        </w:r>
        <w:r w:rsidR="009C2D53">
          <w:rPr>
            <w:noProof/>
            <w:webHidden/>
          </w:rPr>
          <w:tab/>
        </w:r>
        <w:r w:rsidR="009C2D53">
          <w:rPr>
            <w:noProof/>
            <w:webHidden/>
          </w:rPr>
          <w:fldChar w:fldCharType="begin"/>
        </w:r>
        <w:r w:rsidR="009C2D53">
          <w:rPr>
            <w:noProof/>
            <w:webHidden/>
          </w:rPr>
          <w:instrText xml:space="preserve"> PAGEREF _Toc506988592 \h </w:instrText>
        </w:r>
        <w:r w:rsidR="009C2D53">
          <w:rPr>
            <w:noProof/>
            <w:webHidden/>
          </w:rPr>
        </w:r>
        <w:r w:rsidR="009C2D53">
          <w:rPr>
            <w:noProof/>
            <w:webHidden/>
          </w:rPr>
          <w:fldChar w:fldCharType="separate"/>
        </w:r>
        <w:r w:rsidR="009C2D53">
          <w:rPr>
            <w:noProof/>
            <w:webHidden/>
          </w:rPr>
          <w:t>79</w:t>
        </w:r>
        <w:r w:rsidR="009C2D53">
          <w:rPr>
            <w:noProof/>
            <w:webHidden/>
          </w:rPr>
          <w:fldChar w:fldCharType="end"/>
        </w:r>
      </w:hyperlink>
    </w:p>
    <w:p w14:paraId="33A13157" w14:textId="3CA15ED9"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93"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 xml:space="preserve">RESPUESTA NO.15. </w:t>
        </w:r>
        <w:r w:rsidR="009C2D53" w:rsidRPr="00CB492D">
          <w:rPr>
            <w:rStyle w:val="Hipervnculo"/>
            <w:noProof/>
            <w:lang w:val="es-CO" w:eastAsia="es-CO"/>
          </w:rPr>
          <w:t>CORRECCIONES A LA INFORMACIÓN DE COSTOS DEL EXCEL</w:t>
        </w:r>
        <w:r w:rsidR="009C2D53">
          <w:rPr>
            <w:noProof/>
            <w:webHidden/>
          </w:rPr>
          <w:tab/>
        </w:r>
        <w:r w:rsidR="009C2D53">
          <w:rPr>
            <w:noProof/>
            <w:webHidden/>
          </w:rPr>
          <w:fldChar w:fldCharType="begin"/>
        </w:r>
        <w:r w:rsidR="009C2D53">
          <w:rPr>
            <w:noProof/>
            <w:webHidden/>
          </w:rPr>
          <w:instrText xml:space="preserve"> PAGEREF _Toc506988593 \h </w:instrText>
        </w:r>
        <w:r w:rsidR="009C2D53">
          <w:rPr>
            <w:noProof/>
            <w:webHidden/>
          </w:rPr>
        </w:r>
        <w:r w:rsidR="009C2D53">
          <w:rPr>
            <w:noProof/>
            <w:webHidden/>
          </w:rPr>
          <w:fldChar w:fldCharType="separate"/>
        </w:r>
        <w:r w:rsidR="009C2D53">
          <w:rPr>
            <w:noProof/>
            <w:webHidden/>
          </w:rPr>
          <w:t>80</w:t>
        </w:r>
        <w:r w:rsidR="009C2D53">
          <w:rPr>
            <w:noProof/>
            <w:webHidden/>
          </w:rPr>
          <w:fldChar w:fldCharType="end"/>
        </w:r>
      </w:hyperlink>
    </w:p>
    <w:p w14:paraId="49EE977E" w14:textId="31998958"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94"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 xml:space="preserve">RESPUESTA NO.16. </w:t>
        </w:r>
        <w:r w:rsidR="009C2D53" w:rsidRPr="00CB492D">
          <w:rPr>
            <w:rStyle w:val="Hipervnculo"/>
            <w:noProof/>
            <w:lang w:val="es-CO" w:eastAsia="es-CO"/>
          </w:rPr>
          <w:t>OTROS / RES CRA 783 DE 2016</w:t>
        </w:r>
        <w:r w:rsidR="009C2D53">
          <w:rPr>
            <w:noProof/>
            <w:webHidden/>
          </w:rPr>
          <w:tab/>
        </w:r>
        <w:r w:rsidR="009C2D53">
          <w:rPr>
            <w:noProof/>
            <w:webHidden/>
          </w:rPr>
          <w:fldChar w:fldCharType="begin"/>
        </w:r>
        <w:r w:rsidR="009C2D53">
          <w:rPr>
            <w:noProof/>
            <w:webHidden/>
          </w:rPr>
          <w:instrText xml:space="preserve"> PAGEREF _Toc506988594 \h </w:instrText>
        </w:r>
        <w:r w:rsidR="009C2D53">
          <w:rPr>
            <w:noProof/>
            <w:webHidden/>
          </w:rPr>
        </w:r>
        <w:r w:rsidR="009C2D53">
          <w:rPr>
            <w:noProof/>
            <w:webHidden/>
          </w:rPr>
          <w:fldChar w:fldCharType="separate"/>
        </w:r>
        <w:r w:rsidR="009C2D53">
          <w:rPr>
            <w:noProof/>
            <w:webHidden/>
          </w:rPr>
          <w:t>80</w:t>
        </w:r>
        <w:r w:rsidR="009C2D53">
          <w:rPr>
            <w:noProof/>
            <w:webHidden/>
          </w:rPr>
          <w:fldChar w:fldCharType="end"/>
        </w:r>
      </w:hyperlink>
    </w:p>
    <w:p w14:paraId="6136A226" w14:textId="71D2AF03" w:rsidR="009C2D53" w:rsidRDefault="00122B06">
      <w:pPr>
        <w:pStyle w:val="TDC2"/>
        <w:tabs>
          <w:tab w:val="left" w:pos="660"/>
          <w:tab w:val="right" w:leader="dot" w:pos="9962"/>
        </w:tabs>
        <w:rPr>
          <w:rFonts w:asciiTheme="minorHAnsi" w:eastAsiaTheme="minorEastAsia" w:hAnsiTheme="minorHAnsi" w:cstheme="minorBidi"/>
          <w:b w:val="0"/>
          <w:bCs w:val="0"/>
          <w:noProof/>
          <w:lang w:val="es-CO" w:eastAsia="es-CO"/>
        </w:rPr>
      </w:pPr>
      <w:hyperlink w:anchor="_Toc506988595" w:history="1">
        <w:r w:rsidR="009C2D53" w:rsidRPr="00CB492D">
          <w:rPr>
            <w:rStyle w:val="Hipervnculo"/>
            <w:rFonts w:ascii="Symbol" w:hAnsi="Symbol"/>
            <w:noProof/>
            <w:lang w:val="es-CO" w:eastAsia="es-CO"/>
          </w:rPr>
          <w:t></w:t>
        </w:r>
        <w:r w:rsidR="009C2D53">
          <w:rPr>
            <w:rFonts w:asciiTheme="minorHAnsi" w:eastAsiaTheme="minorEastAsia" w:hAnsiTheme="minorHAnsi" w:cstheme="minorBidi"/>
            <w:b w:val="0"/>
            <w:bCs w:val="0"/>
            <w:noProof/>
            <w:lang w:val="es-CO" w:eastAsia="es-CO"/>
          </w:rPr>
          <w:tab/>
        </w:r>
        <w:r w:rsidR="009C2D53" w:rsidRPr="00CB492D">
          <w:rPr>
            <w:rStyle w:val="Hipervnculo"/>
            <w:noProof/>
          </w:rPr>
          <w:t xml:space="preserve">RESPUESTA NO.17. </w:t>
        </w:r>
        <w:r w:rsidR="009C2D53" w:rsidRPr="00CB492D">
          <w:rPr>
            <w:rStyle w:val="Hipervnculo"/>
            <w:noProof/>
            <w:lang w:val="es-CO" w:eastAsia="es-CO"/>
          </w:rPr>
          <w:t>INFORMACIÓN SUPERINTENDENCIA DE SERVICIOS PÚBLICOS DOMICILIARIOS –SSPD</w:t>
        </w:r>
        <w:r w:rsidR="009C2D53">
          <w:rPr>
            <w:noProof/>
            <w:webHidden/>
          </w:rPr>
          <w:tab/>
        </w:r>
        <w:r w:rsidR="009C2D53">
          <w:rPr>
            <w:noProof/>
            <w:webHidden/>
          </w:rPr>
          <w:fldChar w:fldCharType="begin"/>
        </w:r>
        <w:r w:rsidR="009C2D53">
          <w:rPr>
            <w:noProof/>
            <w:webHidden/>
          </w:rPr>
          <w:instrText xml:space="preserve"> PAGEREF _Toc506988595 \h </w:instrText>
        </w:r>
        <w:r w:rsidR="009C2D53">
          <w:rPr>
            <w:noProof/>
            <w:webHidden/>
          </w:rPr>
        </w:r>
        <w:r w:rsidR="009C2D53">
          <w:rPr>
            <w:noProof/>
            <w:webHidden/>
          </w:rPr>
          <w:fldChar w:fldCharType="separate"/>
        </w:r>
        <w:r w:rsidR="009C2D53">
          <w:rPr>
            <w:noProof/>
            <w:webHidden/>
          </w:rPr>
          <w:t>80</w:t>
        </w:r>
        <w:r w:rsidR="009C2D53">
          <w:rPr>
            <w:noProof/>
            <w:webHidden/>
          </w:rPr>
          <w:fldChar w:fldCharType="end"/>
        </w:r>
      </w:hyperlink>
    </w:p>
    <w:p w14:paraId="50C1D180" w14:textId="591AFF2B" w:rsidR="00572971" w:rsidRDefault="00572971">
      <w:r w:rsidRPr="00604CC6">
        <w:rPr>
          <w:bCs/>
        </w:rPr>
        <w:fldChar w:fldCharType="end"/>
      </w:r>
    </w:p>
    <w:p w14:paraId="368EF5DD" w14:textId="77777777" w:rsidR="004953A2" w:rsidRPr="00744C19" w:rsidRDefault="004953A2" w:rsidP="005E44BF">
      <w:pPr>
        <w:spacing w:after="0" w:line="240" w:lineRule="auto"/>
        <w:ind w:left="284"/>
        <w:jc w:val="both"/>
        <w:rPr>
          <w:rFonts w:ascii="Arial" w:hAnsi="Arial" w:cs="Arial"/>
          <w:sz w:val="20"/>
          <w:szCs w:val="20"/>
          <w:lang w:val="es-MX"/>
        </w:rPr>
      </w:pPr>
    </w:p>
    <w:p w14:paraId="257AFB60" w14:textId="77777777" w:rsidR="00505CEA" w:rsidRDefault="00505CEA" w:rsidP="005E44BF">
      <w:pPr>
        <w:spacing w:after="0" w:line="240" w:lineRule="auto"/>
        <w:jc w:val="center"/>
        <w:rPr>
          <w:rFonts w:ascii="Arial" w:hAnsi="Arial" w:cs="Arial"/>
          <w:b/>
          <w:sz w:val="20"/>
          <w:szCs w:val="20"/>
          <w:lang w:val="es-MX"/>
        </w:rPr>
      </w:pPr>
    </w:p>
    <w:p w14:paraId="7A0A4E6A" w14:textId="77777777" w:rsidR="00505CEA" w:rsidRDefault="00505CEA" w:rsidP="005E44BF">
      <w:pPr>
        <w:spacing w:after="0" w:line="240" w:lineRule="auto"/>
        <w:jc w:val="center"/>
        <w:rPr>
          <w:rFonts w:ascii="Arial" w:hAnsi="Arial" w:cs="Arial"/>
          <w:b/>
          <w:sz w:val="20"/>
          <w:szCs w:val="20"/>
          <w:lang w:val="es-MX"/>
        </w:rPr>
      </w:pPr>
    </w:p>
    <w:p w14:paraId="786F2FB7" w14:textId="77777777" w:rsidR="00505CEA" w:rsidRDefault="00505CEA" w:rsidP="005E44BF">
      <w:pPr>
        <w:spacing w:after="0" w:line="240" w:lineRule="auto"/>
        <w:jc w:val="center"/>
        <w:rPr>
          <w:rFonts w:ascii="Arial" w:hAnsi="Arial" w:cs="Arial"/>
          <w:b/>
          <w:sz w:val="20"/>
          <w:szCs w:val="20"/>
          <w:lang w:val="es-MX"/>
        </w:rPr>
      </w:pPr>
    </w:p>
    <w:p w14:paraId="5C867F62" w14:textId="77777777" w:rsidR="00505CEA" w:rsidRDefault="00505CEA" w:rsidP="005E44BF">
      <w:pPr>
        <w:spacing w:after="0" w:line="240" w:lineRule="auto"/>
        <w:jc w:val="center"/>
        <w:rPr>
          <w:rFonts w:ascii="Arial" w:hAnsi="Arial" w:cs="Arial"/>
          <w:b/>
          <w:sz w:val="20"/>
          <w:szCs w:val="20"/>
          <w:lang w:val="es-MX"/>
        </w:rPr>
      </w:pPr>
    </w:p>
    <w:p w14:paraId="2ED1AED7" w14:textId="77777777" w:rsidR="00505CEA" w:rsidRDefault="00505CEA" w:rsidP="005E44BF">
      <w:pPr>
        <w:spacing w:after="0" w:line="240" w:lineRule="auto"/>
        <w:jc w:val="center"/>
        <w:rPr>
          <w:rFonts w:ascii="Arial" w:hAnsi="Arial" w:cs="Arial"/>
          <w:b/>
          <w:sz w:val="20"/>
          <w:szCs w:val="20"/>
          <w:lang w:val="es-MX"/>
        </w:rPr>
      </w:pPr>
    </w:p>
    <w:p w14:paraId="3D2D3896" w14:textId="77777777" w:rsidR="00505CEA" w:rsidRDefault="00505CEA" w:rsidP="005E44BF">
      <w:pPr>
        <w:spacing w:after="0" w:line="240" w:lineRule="auto"/>
        <w:jc w:val="center"/>
        <w:rPr>
          <w:rFonts w:ascii="Arial" w:hAnsi="Arial" w:cs="Arial"/>
          <w:b/>
          <w:sz w:val="20"/>
          <w:szCs w:val="20"/>
          <w:lang w:val="es-MX"/>
        </w:rPr>
      </w:pPr>
    </w:p>
    <w:p w14:paraId="0AE09B1A" w14:textId="77777777" w:rsidR="00505CEA" w:rsidRDefault="00505CEA" w:rsidP="005E44BF">
      <w:pPr>
        <w:spacing w:after="0" w:line="240" w:lineRule="auto"/>
        <w:jc w:val="center"/>
        <w:rPr>
          <w:rFonts w:ascii="Arial" w:hAnsi="Arial" w:cs="Arial"/>
          <w:b/>
          <w:sz w:val="20"/>
          <w:szCs w:val="20"/>
          <w:lang w:val="es-MX"/>
        </w:rPr>
      </w:pPr>
    </w:p>
    <w:p w14:paraId="65AAE84B" w14:textId="77777777" w:rsidR="00505CEA" w:rsidRDefault="00505CEA" w:rsidP="005E44BF">
      <w:pPr>
        <w:spacing w:after="0" w:line="240" w:lineRule="auto"/>
        <w:jc w:val="center"/>
        <w:rPr>
          <w:rFonts w:ascii="Arial" w:hAnsi="Arial" w:cs="Arial"/>
          <w:b/>
          <w:sz w:val="20"/>
          <w:szCs w:val="20"/>
          <w:lang w:val="es-MX"/>
        </w:rPr>
      </w:pPr>
    </w:p>
    <w:p w14:paraId="689E79C2" w14:textId="77777777" w:rsidR="00505CEA" w:rsidRDefault="00505CEA" w:rsidP="005E44BF">
      <w:pPr>
        <w:spacing w:after="0" w:line="240" w:lineRule="auto"/>
        <w:jc w:val="center"/>
        <w:rPr>
          <w:rFonts w:ascii="Arial" w:hAnsi="Arial" w:cs="Arial"/>
          <w:b/>
          <w:sz w:val="20"/>
          <w:szCs w:val="20"/>
          <w:lang w:val="es-MX"/>
        </w:rPr>
      </w:pPr>
    </w:p>
    <w:p w14:paraId="22B1F2A0" w14:textId="77777777" w:rsidR="00505CEA" w:rsidRDefault="00505CEA" w:rsidP="005E44BF">
      <w:pPr>
        <w:spacing w:after="0" w:line="240" w:lineRule="auto"/>
        <w:jc w:val="center"/>
        <w:rPr>
          <w:rFonts w:ascii="Arial" w:hAnsi="Arial" w:cs="Arial"/>
          <w:b/>
          <w:sz w:val="20"/>
          <w:szCs w:val="20"/>
          <w:lang w:val="es-MX"/>
        </w:rPr>
      </w:pPr>
    </w:p>
    <w:p w14:paraId="1FB5B43A" w14:textId="77777777" w:rsidR="00505CEA" w:rsidRDefault="00505CEA" w:rsidP="005E44BF">
      <w:pPr>
        <w:spacing w:after="0" w:line="240" w:lineRule="auto"/>
        <w:jc w:val="center"/>
        <w:rPr>
          <w:rFonts w:ascii="Arial" w:hAnsi="Arial" w:cs="Arial"/>
          <w:b/>
          <w:sz w:val="20"/>
          <w:szCs w:val="20"/>
          <w:lang w:val="es-MX"/>
        </w:rPr>
      </w:pPr>
    </w:p>
    <w:p w14:paraId="18CFCF38" w14:textId="77777777" w:rsidR="00505CEA" w:rsidRDefault="00505CEA" w:rsidP="005E44BF">
      <w:pPr>
        <w:spacing w:after="0" w:line="240" w:lineRule="auto"/>
        <w:jc w:val="center"/>
        <w:rPr>
          <w:rFonts w:ascii="Arial" w:hAnsi="Arial" w:cs="Arial"/>
          <w:b/>
          <w:sz w:val="20"/>
          <w:szCs w:val="20"/>
          <w:lang w:val="es-MX"/>
        </w:rPr>
      </w:pPr>
    </w:p>
    <w:p w14:paraId="774D4905" w14:textId="77777777" w:rsidR="00505CEA" w:rsidRDefault="00505CEA" w:rsidP="005E44BF">
      <w:pPr>
        <w:spacing w:after="0" w:line="240" w:lineRule="auto"/>
        <w:jc w:val="center"/>
        <w:rPr>
          <w:rFonts w:ascii="Arial" w:hAnsi="Arial" w:cs="Arial"/>
          <w:b/>
          <w:sz w:val="20"/>
          <w:szCs w:val="20"/>
          <w:lang w:val="es-MX"/>
        </w:rPr>
      </w:pPr>
    </w:p>
    <w:p w14:paraId="5752EB22" w14:textId="4FC37E0C" w:rsidR="007638AA" w:rsidRDefault="006133D1" w:rsidP="005E44BF">
      <w:pPr>
        <w:spacing w:after="0" w:line="240" w:lineRule="auto"/>
        <w:jc w:val="center"/>
        <w:rPr>
          <w:rFonts w:ascii="Arial" w:hAnsi="Arial" w:cs="Arial"/>
          <w:b/>
          <w:sz w:val="20"/>
          <w:szCs w:val="20"/>
          <w:lang w:val="es-MX"/>
        </w:rPr>
      </w:pPr>
      <w:r w:rsidRPr="00744C19">
        <w:rPr>
          <w:rFonts w:ascii="Arial" w:hAnsi="Arial" w:cs="Arial"/>
          <w:b/>
          <w:sz w:val="20"/>
          <w:szCs w:val="20"/>
          <w:lang w:val="es-MX"/>
        </w:rPr>
        <w:t xml:space="preserve">LISTA DE TABLAS </w:t>
      </w:r>
    </w:p>
    <w:p w14:paraId="19C75F9D" w14:textId="77777777" w:rsidR="00E626A6" w:rsidRPr="00744C19" w:rsidRDefault="00E626A6" w:rsidP="005E44BF">
      <w:pPr>
        <w:spacing w:after="0" w:line="240" w:lineRule="auto"/>
        <w:jc w:val="center"/>
        <w:rPr>
          <w:rFonts w:ascii="Arial" w:hAnsi="Arial" w:cs="Arial"/>
          <w:b/>
          <w:sz w:val="20"/>
          <w:szCs w:val="20"/>
          <w:lang w:val="es-MX"/>
        </w:rPr>
      </w:pPr>
    </w:p>
    <w:p w14:paraId="66A5A602" w14:textId="0C9C46D5" w:rsidR="009C2D53" w:rsidRDefault="00E626A6">
      <w:pPr>
        <w:pStyle w:val="Tabladeilustraciones"/>
        <w:tabs>
          <w:tab w:val="right" w:leader="dot" w:pos="9962"/>
        </w:tabs>
        <w:rPr>
          <w:rFonts w:asciiTheme="minorHAnsi" w:eastAsiaTheme="minorEastAsia" w:hAnsiTheme="minorHAnsi" w:cstheme="minorBidi"/>
          <w:noProof/>
          <w:lang w:val="es-CO" w:eastAsia="es-CO"/>
        </w:rPr>
      </w:pPr>
      <w:r w:rsidRPr="00604CC6">
        <w:rPr>
          <w:rFonts w:ascii="Arial" w:hAnsi="Arial" w:cs="Arial"/>
          <w:sz w:val="20"/>
          <w:szCs w:val="20"/>
          <w:lang w:val="es-MX"/>
        </w:rPr>
        <w:fldChar w:fldCharType="begin"/>
      </w:r>
      <w:r w:rsidRPr="00604CC6">
        <w:rPr>
          <w:rFonts w:ascii="Arial" w:hAnsi="Arial" w:cs="Arial"/>
          <w:sz w:val="20"/>
          <w:szCs w:val="20"/>
          <w:lang w:val="es-MX"/>
        </w:rPr>
        <w:instrText xml:space="preserve"> TOC \h \z \c "Tabla" </w:instrText>
      </w:r>
      <w:r w:rsidRPr="00604CC6">
        <w:rPr>
          <w:rFonts w:ascii="Arial" w:hAnsi="Arial" w:cs="Arial"/>
          <w:sz w:val="20"/>
          <w:szCs w:val="20"/>
          <w:lang w:val="es-MX"/>
        </w:rPr>
        <w:fldChar w:fldCharType="separate"/>
      </w:r>
      <w:hyperlink w:anchor="_Toc506988564" w:history="1">
        <w:r w:rsidR="009C2D53" w:rsidRPr="005722CA">
          <w:rPr>
            <w:rStyle w:val="Hipervnculo"/>
            <w:rFonts w:ascii="Arial" w:hAnsi="Arial" w:cs="Arial"/>
            <w:noProof/>
          </w:rPr>
          <w:t xml:space="preserve">Tabla 1. </w:t>
        </w:r>
        <w:r w:rsidR="009C2D53" w:rsidRPr="005722CA">
          <w:rPr>
            <w:rStyle w:val="Hipervnculo"/>
            <w:rFonts w:ascii="Arial" w:hAnsi="Arial" w:cs="Arial"/>
            <w:noProof/>
            <w:lang w:val="es-ES_tradnl" w:eastAsia="es-ES"/>
          </w:rPr>
          <w:t>Número de observaciones escritas</w:t>
        </w:r>
        <w:r w:rsidR="009C2D53">
          <w:rPr>
            <w:noProof/>
            <w:webHidden/>
          </w:rPr>
          <w:tab/>
        </w:r>
        <w:r w:rsidR="009C2D53">
          <w:rPr>
            <w:noProof/>
            <w:webHidden/>
          </w:rPr>
          <w:fldChar w:fldCharType="begin"/>
        </w:r>
        <w:r w:rsidR="009C2D53">
          <w:rPr>
            <w:noProof/>
            <w:webHidden/>
          </w:rPr>
          <w:instrText xml:space="preserve"> PAGEREF _Toc506988564 \h </w:instrText>
        </w:r>
        <w:r w:rsidR="009C2D53">
          <w:rPr>
            <w:noProof/>
            <w:webHidden/>
          </w:rPr>
        </w:r>
        <w:r w:rsidR="009C2D53">
          <w:rPr>
            <w:noProof/>
            <w:webHidden/>
          </w:rPr>
          <w:fldChar w:fldCharType="separate"/>
        </w:r>
        <w:r w:rsidR="009C2D53">
          <w:rPr>
            <w:noProof/>
            <w:webHidden/>
          </w:rPr>
          <w:t>4</w:t>
        </w:r>
        <w:r w:rsidR="009C2D53">
          <w:rPr>
            <w:noProof/>
            <w:webHidden/>
          </w:rPr>
          <w:fldChar w:fldCharType="end"/>
        </w:r>
      </w:hyperlink>
    </w:p>
    <w:p w14:paraId="7BDE8832" w14:textId="71BD7514" w:rsidR="009C2D53" w:rsidRDefault="00122B06">
      <w:pPr>
        <w:pStyle w:val="Tabladeilustraciones"/>
        <w:tabs>
          <w:tab w:val="right" w:leader="dot" w:pos="9962"/>
        </w:tabs>
        <w:rPr>
          <w:rFonts w:asciiTheme="minorHAnsi" w:eastAsiaTheme="minorEastAsia" w:hAnsiTheme="minorHAnsi" w:cstheme="minorBidi"/>
          <w:noProof/>
          <w:lang w:val="es-CO" w:eastAsia="es-CO"/>
        </w:rPr>
      </w:pPr>
      <w:hyperlink w:anchor="_Toc506988565" w:history="1">
        <w:r w:rsidR="009C2D53" w:rsidRPr="005722CA">
          <w:rPr>
            <w:rStyle w:val="Hipervnculo"/>
            <w:rFonts w:ascii="Arial" w:hAnsi="Arial" w:cs="Arial"/>
            <w:noProof/>
          </w:rPr>
          <w:t xml:space="preserve">Tabla 2. </w:t>
        </w:r>
        <w:r w:rsidR="009C2D53" w:rsidRPr="005722CA">
          <w:rPr>
            <w:rStyle w:val="Hipervnculo"/>
            <w:rFonts w:ascii="Arial" w:hAnsi="Arial" w:cs="Arial"/>
            <w:noProof/>
            <w:lang w:val="es-ES_tradnl" w:eastAsia="es-ES"/>
          </w:rPr>
          <w:t>Ejes temáticos</w:t>
        </w:r>
        <w:r w:rsidR="009C2D53">
          <w:rPr>
            <w:noProof/>
            <w:webHidden/>
          </w:rPr>
          <w:tab/>
        </w:r>
        <w:r w:rsidR="009C2D53">
          <w:rPr>
            <w:noProof/>
            <w:webHidden/>
          </w:rPr>
          <w:fldChar w:fldCharType="begin"/>
        </w:r>
        <w:r w:rsidR="009C2D53">
          <w:rPr>
            <w:noProof/>
            <w:webHidden/>
          </w:rPr>
          <w:instrText xml:space="preserve"> PAGEREF _Toc506988565 \h </w:instrText>
        </w:r>
        <w:r w:rsidR="009C2D53">
          <w:rPr>
            <w:noProof/>
            <w:webHidden/>
          </w:rPr>
        </w:r>
        <w:r w:rsidR="009C2D53">
          <w:rPr>
            <w:noProof/>
            <w:webHidden/>
          </w:rPr>
          <w:fldChar w:fldCharType="separate"/>
        </w:r>
        <w:r w:rsidR="009C2D53">
          <w:rPr>
            <w:noProof/>
            <w:webHidden/>
          </w:rPr>
          <w:t>5</w:t>
        </w:r>
        <w:r w:rsidR="009C2D53">
          <w:rPr>
            <w:noProof/>
            <w:webHidden/>
          </w:rPr>
          <w:fldChar w:fldCharType="end"/>
        </w:r>
      </w:hyperlink>
    </w:p>
    <w:p w14:paraId="231BCE77" w14:textId="26DF7FE8" w:rsidR="009C2D53" w:rsidRDefault="00122B06">
      <w:pPr>
        <w:pStyle w:val="Tabladeilustraciones"/>
        <w:tabs>
          <w:tab w:val="right" w:leader="dot" w:pos="9962"/>
        </w:tabs>
        <w:rPr>
          <w:rFonts w:asciiTheme="minorHAnsi" w:eastAsiaTheme="minorEastAsia" w:hAnsiTheme="minorHAnsi" w:cstheme="minorBidi"/>
          <w:noProof/>
          <w:lang w:val="es-CO" w:eastAsia="es-CO"/>
        </w:rPr>
      </w:pPr>
      <w:hyperlink w:anchor="_Toc506988566" w:history="1">
        <w:r w:rsidR="009C2D53" w:rsidRPr="005722CA">
          <w:rPr>
            <w:rStyle w:val="Hipervnculo"/>
            <w:rFonts w:ascii="Arial" w:hAnsi="Arial" w:cs="Arial"/>
            <w:noProof/>
          </w:rPr>
          <w:t>Tabla 3. Parámetros de inclusión</w:t>
        </w:r>
        <w:r w:rsidR="009C2D53">
          <w:rPr>
            <w:noProof/>
            <w:webHidden/>
          </w:rPr>
          <w:tab/>
        </w:r>
        <w:r w:rsidR="009C2D53">
          <w:rPr>
            <w:noProof/>
            <w:webHidden/>
          </w:rPr>
          <w:fldChar w:fldCharType="begin"/>
        </w:r>
        <w:r w:rsidR="009C2D53">
          <w:rPr>
            <w:noProof/>
            <w:webHidden/>
          </w:rPr>
          <w:instrText xml:space="preserve"> PAGEREF _Toc506988566 \h </w:instrText>
        </w:r>
        <w:r w:rsidR="009C2D53">
          <w:rPr>
            <w:noProof/>
            <w:webHidden/>
          </w:rPr>
        </w:r>
        <w:r w:rsidR="009C2D53">
          <w:rPr>
            <w:noProof/>
            <w:webHidden/>
          </w:rPr>
          <w:fldChar w:fldCharType="separate"/>
        </w:r>
        <w:r w:rsidR="009C2D53">
          <w:rPr>
            <w:noProof/>
            <w:webHidden/>
          </w:rPr>
          <w:t>66</w:t>
        </w:r>
        <w:r w:rsidR="009C2D53">
          <w:rPr>
            <w:noProof/>
            <w:webHidden/>
          </w:rPr>
          <w:fldChar w:fldCharType="end"/>
        </w:r>
      </w:hyperlink>
    </w:p>
    <w:p w14:paraId="7CCC7F12" w14:textId="59A2FF5A" w:rsidR="009C2D53" w:rsidRDefault="00122B06">
      <w:pPr>
        <w:pStyle w:val="Tabladeilustraciones"/>
        <w:tabs>
          <w:tab w:val="right" w:leader="dot" w:pos="9962"/>
        </w:tabs>
        <w:rPr>
          <w:rFonts w:asciiTheme="minorHAnsi" w:eastAsiaTheme="minorEastAsia" w:hAnsiTheme="minorHAnsi" w:cstheme="minorBidi"/>
          <w:noProof/>
          <w:lang w:val="es-CO" w:eastAsia="es-CO"/>
        </w:rPr>
      </w:pPr>
      <w:hyperlink w:anchor="_Toc506988567" w:history="1">
        <w:r w:rsidR="009C2D53" w:rsidRPr="005722CA">
          <w:rPr>
            <w:rStyle w:val="Hipervnculo"/>
            <w:rFonts w:ascii="Arial" w:hAnsi="Arial" w:cs="Arial"/>
            <w:noProof/>
          </w:rPr>
          <w:t>Tabla 4. Variables administrativas</w:t>
        </w:r>
        <w:r w:rsidR="009C2D53">
          <w:rPr>
            <w:noProof/>
            <w:webHidden/>
          </w:rPr>
          <w:tab/>
        </w:r>
        <w:r w:rsidR="009C2D53">
          <w:rPr>
            <w:noProof/>
            <w:webHidden/>
          </w:rPr>
          <w:fldChar w:fldCharType="begin"/>
        </w:r>
        <w:r w:rsidR="009C2D53">
          <w:rPr>
            <w:noProof/>
            <w:webHidden/>
          </w:rPr>
          <w:instrText xml:space="preserve"> PAGEREF _Toc506988567 \h </w:instrText>
        </w:r>
        <w:r w:rsidR="009C2D53">
          <w:rPr>
            <w:noProof/>
            <w:webHidden/>
          </w:rPr>
        </w:r>
        <w:r w:rsidR="009C2D53">
          <w:rPr>
            <w:noProof/>
            <w:webHidden/>
          </w:rPr>
          <w:fldChar w:fldCharType="separate"/>
        </w:r>
        <w:r w:rsidR="009C2D53">
          <w:rPr>
            <w:noProof/>
            <w:webHidden/>
          </w:rPr>
          <w:t>67</w:t>
        </w:r>
        <w:r w:rsidR="009C2D53">
          <w:rPr>
            <w:noProof/>
            <w:webHidden/>
          </w:rPr>
          <w:fldChar w:fldCharType="end"/>
        </w:r>
      </w:hyperlink>
    </w:p>
    <w:p w14:paraId="4C33DF8E" w14:textId="295BF5B1" w:rsidR="009C2D53" w:rsidRDefault="00122B06">
      <w:pPr>
        <w:pStyle w:val="Tabladeilustraciones"/>
        <w:tabs>
          <w:tab w:val="right" w:leader="dot" w:pos="9962"/>
        </w:tabs>
        <w:rPr>
          <w:rFonts w:asciiTheme="minorHAnsi" w:eastAsiaTheme="minorEastAsia" w:hAnsiTheme="minorHAnsi" w:cstheme="minorBidi"/>
          <w:noProof/>
          <w:lang w:val="es-CO" w:eastAsia="es-CO"/>
        </w:rPr>
      </w:pPr>
      <w:hyperlink w:anchor="_Toc506988568" w:history="1">
        <w:r w:rsidR="009C2D53" w:rsidRPr="005722CA">
          <w:rPr>
            <w:rStyle w:val="Hipervnculo"/>
            <w:rFonts w:ascii="Arial" w:hAnsi="Arial" w:cs="Arial"/>
            <w:noProof/>
          </w:rPr>
          <w:t>Tabla 5. Variables Operativas</w:t>
        </w:r>
        <w:r w:rsidR="009C2D53">
          <w:rPr>
            <w:noProof/>
            <w:webHidden/>
          </w:rPr>
          <w:tab/>
        </w:r>
        <w:r w:rsidR="009C2D53">
          <w:rPr>
            <w:noProof/>
            <w:webHidden/>
          </w:rPr>
          <w:fldChar w:fldCharType="begin"/>
        </w:r>
        <w:r w:rsidR="009C2D53">
          <w:rPr>
            <w:noProof/>
            <w:webHidden/>
          </w:rPr>
          <w:instrText xml:space="preserve"> PAGEREF _Toc506988568 \h </w:instrText>
        </w:r>
        <w:r w:rsidR="009C2D53">
          <w:rPr>
            <w:noProof/>
            <w:webHidden/>
          </w:rPr>
        </w:r>
        <w:r w:rsidR="009C2D53">
          <w:rPr>
            <w:noProof/>
            <w:webHidden/>
          </w:rPr>
          <w:fldChar w:fldCharType="separate"/>
        </w:r>
        <w:r w:rsidR="009C2D53">
          <w:rPr>
            <w:noProof/>
            <w:webHidden/>
          </w:rPr>
          <w:t>67</w:t>
        </w:r>
        <w:r w:rsidR="009C2D53">
          <w:rPr>
            <w:noProof/>
            <w:webHidden/>
          </w:rPr>
          <w:fldChar w:fldCharType="end"/>
        </w:r>
      </w:hyperlink>
    </w:p>
    <w:p w14:paraId="7D143AE6" w14:textId="344B593D" w:rsidR="009C2D53" w:rsidRDefault="00122B06">
      <w:pPr>
        <w:pStyle w:val="Tabladeilustraciones"/>
        <w:tabs>
          <w:tab w:val="right" w:leader="dot" w:pos="9962"/>
        </w:tabs>
        <w:rPr>
          <w:rFonts w:asciiTheme="minorHAnsi" w:eastAsiaTheme="minorEastAsia" w:hAnsiTheme="minorHAnsi" w:cstheme="minorBidi"/>
          <w:noProof/>
          <w:lang w:val="es-CO" w:eastAsia="es-CO"/>
        </w:rPr>
      </w:pPr>
      <w:hyperlink w:anchor="_Toc506988569" w:history="1">
        <w:r w:rsidR="009C2D53" w:rsidRPr="005722CA">
          <w:rPr>
            <w:rStyle w:val="Hipervnculo"/>
            <w:rFonts w:ascii="Arial" w:hAnsi="Arial" w:cs="Arial"/>
            <w:noProof/>
          </w:rPr>
          <w:t xml:space="preserve">Tabla 6. </w:t>
        </w:r>
        <w:r w:rsidR="009C2D53" w:rsidRPr="005722CA">
          <w:rPr>
            <w:rStyle w:val="Hipervnculo"/>
            <w:rFonts w:ascii="Arial" w:hAnsi="Arial" w:cs="Arial"/>
            <w:noProof/>
            <w:lang w:val="es-MX"/>
          </w:rPr>
          <w:t>Relación de las variables respecto del insumo</w:t>
        </w:r>
        <w:r w:rsidR="009C2D53">
          <w:rPr>
            <w:noProof/>
            <w:webHidden/>
          </w:rPr>
          <w:tab/>
        </w:r>
        <w:r w:rsidR="009C2D53">
          <w:rPr>
            <w:noProof/>
            <w:webHidden/>
          </w:rPr>
          <w:fldChar w:fldCharType="begin"/>
        </w:r>
        <w:r w:rsidR="009C2D53">
          <w:rPr>
            <w:noProof/>
            <w:webHidden/>
          </w:rPr>
          <w:instrText xml:space="preserve"> PAGEREF _Toc506988569 \h </w:instrText>
        </w:r>
        <w:r w:rsidR="009C2D53">
          <w:rPr>
            <w:noProof/>
            <w:webHidden/>
          </w:rPr>
        </w:r>
        <w:r w:rsidR="009C2D53">
          <w:rPr>
            <w:noProof/>
            <w:webHidden/>
          </w:rPr>
          <w:fldChar w:fldCharType="separate"/>
        </w:r>
        <w:r w:rsidR="009C2D53">
          <w:rPr>
            <w:noProof/>
            <w:webHidden/>
          </w:rPr>
          <w:t>71</w:t>
        </w:r>
        <w:r w:rsidR="009C2D53">
          <w:rPr>
            <w:noProof/>
            <w:webHidden/>
          </w:rPr>
          <w:fldChar w:fldCharType="end"/>
        </w:r>
      </w:hyperlink>
    </w:p>
    <w:p w14:paraId="0C24947A" w14:textId="50BAE796" w:rsidR="009C2D53" w:rsidRDefault="00122B06">
      <w:pPr>
        <w:pStyle w:val="Tabladeilustraciones"/>
        <w:tabs>
          <w:tab w:val="right" w:leader="dot" w:pos="9962"/>
        </w:tabs>
        <w:rPr>
          <w:rFonts w:asciiTheme="minorHAnsi" w:eastAsiaTheme="minorEastAsia" w:hAnsiTheme="minorHAnsi" w:cstheme="minorBidi"/>
          <w:noProof/>
          <w:lang w:val="es-CO" w:eastAsia="es-CO"/>
        </w:rPr>
      </w:pPr>
      <w:hyperlink w:anchor="_Toc506988570" w:history="1">
        <w:r w:rsidR="009C2D53" w:rsidRPr="005722CA">
          <w:rPr>
            <w:rStyle w:val="Hipervnculo"/>
            <w:rFonts w:ascii="Arial" w:hAnsi="Arial" w:cs="Arial"/>
            <w:noProof/>
          </w:rPr>
          <w:t xml:space="preserve">Tabla 7. </w:t>
        </w:r>
        <w:r w:rsidR="009C2D53" w:rsidRPr="005722CA">
          <w:rPr>
            <w:rStyle w:val="Hipervnculo"/>
            <w:rFonts w:ascii="Arial" w:hAnsi="Arial" w:cs="Arial"/>
            <w:noProof/>
            <w:lang w:val="es-MX"/>
          </w:rPr>
          <w:t>Relación de las variables respecto del insumo</w:t>
        </w:r>
        <w:r w:rsidR="009C2D53">
          <w:rPr>
            <w:noProof/>
            <w:webHidden/>
          </w:rPr>
          <w:tab/>
        </w:r>
        <w:r w:rsidR="009C2D53">
          <w:rPr>
            <w:noProof/>
            <w:webHidden/>
          </w:rPr>
          <w:fldChar w:fldCharType="begin"/>
        </w:r>
        <w:r w:rsidR="009C2D53">
          <w:rPr>
            <w:noProof/>
            <w:webHidden/>
          </w:rPr>
          <w:instrText xml:space="preserve"> PAGEREF _Toc506988570 \h </w:instrText>
        </w:r>
        <w:r w:rsidR="009C2D53">
          <w:rPr>
            <w:noProof/>
            <w:webHidden/>
          </w:rPr>
        </w:r>
        <w:r w:rsidR="009C2D53">
          <w:rPr>
            <w:noProof/>
            <w:webHidden/>
          </w:rPr>
          <w:fldChar w:fldCharType="separate"/>
        </w:r>
        <w:r w:rsidR="009C2D53">
          <w:rPr>
            <w:noProof/>
            <w:webHidden/>
          </w:rPr>
          <w:t>72</w:t>
        </w:r>
        <w:r w:rsidR="009C2D53">
          <w:rPr>
            <w:noProof/>
            <w:webHidden/>
          </w:rPr>
          <w:fldChar w:fldCharType="end"/>
        </w:r>
      </w:hyperlink>
    </w:p>
    <w:p w14:paraId="7260B6CD" w14:textId="62609C51" w:rsidR="009C2D53" w:rsidRDefault="00122B06">
      <w:pPr>
        <w:pStyle w:val="Tabladeilustraciones"/>
        <w:tabs>
          <w:tab w:val="right" w:leader="dot" w:pos="9962"/>
        </w:tabs>
        <w:rPr>
          <w:rFonts w:asciiTheme="minorHAnsi" w:eastAsiaTheme="minorEastAsia" w:hAnsiTheme="minorHAnsi" w:cstheme="minorBidi"/>
          <w:noProof/>
          <w:lang w:val="es-CO" w:eastAsia="es-CO"/>
        </w:rPr>
      </w:pPr>
      <w:hyperlink w:anchor="_Toc506988571" w:history="1">
        <w:r w:rsidR="009C2D53" w:rsidRPr="005722CA">
          <w:rPr>
            <w:rStyle w:val="Hipervnculo"/>
            <w:rFonts w:ascii="Arial" w:hAnsi="Arial" w:cs="Arial"/>
            <w:noProof/>
          </w:rPr>
          <w:t>Tabla 8. PNC Modelo Costos Administrativos para las empresas del primer segmento que hacen parte del grupo básico</w:t>
        </w:r>
        <w:r w:rsidR="009C2D53">
          <w:rPr>
            <w:noProof/>
            <w:webHidden/>
          </w:rPr>
          <w:tab/>
        </w:r>
        <w:r w:rsidR="009C2D53">
          <w:rPr>
            <w:noProof/>
            <w:webHidden/>
          </w:rPr>
          <w:fldChar w:fldCharType="begin"/>
        </w:r>
        <w:r w:rsidR="009C2D53">
          <w:rPr>
            <w:noProof/>
            <w:webHidden/>
          </w:rPr>
          <w:instrText xml:space="preserve"> PAGEREF _Toc506988571 \h </w:instrText>
        </w:r>
        <w:r w:rsidR="009C2D53">
          <w:rPr>
            <w:noProof/>
            <w:webHidden/>
          </w:rPr>
        </w:r>
        <w:r w:rsidR="009C2D53">
          <w:rPr>
            <w:noProof/>
            <w:webHidden/>
          </w:rPr>
          <w:fldChar w:fldCharType="separate"/>
        </w:r>
        <w:r w:rsidR="009C2D53">
          <w:rPr>
            <w:noProof/>
            <w:webHidden/>
          </w:rPr>
          <w:t>72</w:t>
        </w:r>
        <w:r w:rsidR="009C2D53">
          <w:rPr>
            <w:noProof/>
            <w:webHidden/>
          </w:rPr>
          <w:fldChar w:fldCharType="end"/>
        </w:r>
      </w:hyperlink>
    </w:p>
    <w:p w14:paraId="0351D64E" w14:textId="1C8530B7" w:rsidR="009C2D53" w:rsidRDefault="00122B06">
      <w:pPr>
        <w:pStyle w:val="Tabladeilustraciones"/>
        <w:tabs>
          <w:tab w:val="right" w:leader="dot" w:pos="9962"/>
        </w:tabs>
        <w:rPr>
          <w:rFonts w:asciiTheme="minorHAnsi" w:eastAsiaTheme="minorEastAsia" w:hAnsiTheme="minorHAnsi" w:cstheme="minorBidi"/>
          <w:noProof/>
          <w:lang w:val="es-CO" w:eastAsia="es-CO"/>
        </w:rPr>
      </w:pPr>
      <w:hyperlink w:anchor="_Toc506988572" w:history="1">
        <w:r w:rsidR="009C2D53" w:rsidRPr="005722CA">
          <w:rPr>
            <w:rStyle w:val="Hipervnculo"/>
            <w:rFonts w:ascii="Arial" w:hAnsi="Arial" w:cs="Arial"/>
            <w:noProof/>
          </w:rPr>
          <w:t>Tabla 9. PNC Modelo Costos Operativos para las empresas del primer segmento que hacen parte del grupo básico</w:t>
        </w:r>
        <w:r w:rsidR="009C2D53">
          <w:rPr>
            <w:noProof/>
            <w:webHidden/>
          </w:rPr>
          <w:tab/>
        </w:r>
        <w:r w:rsidR="009C2D53">
          <w:rPr>
            <w:noProof/>
            <w:webHidden/>
          </w:rPr>
          <w:fldChar w:fldCharType="begin"/>
        </w:r>
        <w:r w:rsidR="009C2D53">
          <w:rPr>
            <w:noProof/>
            <w:webHidden/>
          </w:rPr>
          <w:instrText xml:space="preserve"> PAGEREF _Toc506988572 \h </w:instrText>
        </w:r>
        <w:r w:rsidR="009C2D53">
          <w:rPr>
            <w:noProof/>
            <w:webHidden/>
          </w:rPr>
        </w:r>
        <w:r w:rsidR="009C2D53">
          <w:rPr>
            <w:noProof/>
            <w:webHidden/>
          </w:rPr>
          <w:fldChar w:fldCharType="separate"/>
        </w:r>
        <w:r w:rsidR="009C2D53">
          <w:rPr>
            <w:noProof/>
            <w:webHidden/>
          </w:rPr>
          <w:t>73</w:t>
        </w:r>
        <w:r w:rsidR="009C2D53">
          <w:rPr>
            <w:noProof/>
            <w:webHidden/>
          </w:rPr>
          <w:fldChar w:fldCharType="end"/>
        </w:r>
      </w:hyperlink>
    </w:p>
    <w:p w14:paraId="75971D50" w14:textId="4867A696" w:rsidR="009C2D53" w:rsidRDefault="00122B06">
      <w:pPr>
        <w:pStyle w:val="Tabladeilustraciones"/>
        <w:tabs>
          <w:tab w:val="right" w:leader="dot" w:pos="9962"/>
        </w:tabs>
        <w:rPr>
          <w:rFonts w:asciiTheme="minorHAnsi" w:eastAsiaTheme="minorEastAsia" w:hAnsiTheme="minorHAnsi" w:cstheme="minorBidi"/>
          <w:noProof/>
          <w:lang w:val="es-CO" w:eastAsia="es-CO"/>
        </w:rPr>
      </w:pPr>
      <w:hyperlink w:anchor="_Toc506988573" w:history="1">
        <w:r w:rsidR="009C2D53" w:rsidRPr="005722CA">
          <w:rPr>
            <w:rStyle w:val="Hipervnculo"/>
            <w:rFonts w:ascii="Arial" w:hAnsi="Arial" w:cs="Arial"/>
            <w:noProof/>
          </w:rPr>
          <w:t>Tabla 10. PNC Modelo Costos Administrativos para aquellas personas prestadoras con APS del segundo segmento, que optaron por aplicar la metodología correspondiente al primero y que hacen parte del grupo básico</w:t>
        </w:r>
        <w:r w:rsidR="009C2D53">
          <w:rPr>
            <w:noProof/>
            <w:webHidden/>
          </w:rPr>
          <w:tab/>
        </w:r>
        <w:r w:rsidR="009C2D53">
          <w:rPr>
            <w:noProof/>
            <w:webHidden/>
          </w:rPr>
          <w:fldChar w:fldCharType="begin"/>
        </w:r>
        <w:r w:rsidR="009C2D53">
          <w:rPr>
            <w:noProof/>
            <w:webHidden/>
          </w:rPr>
          <w:instrText xml:space="preserve"> PAGEREF _Toc506988573 \h </w:instrText>
        </w:r>
        <w:r w:rsidR="009C2D53">
          <w:rPr>
            <w:noProof/>
            <w:webHidden/>
          </w:rPr>
        </w:r>
        <w:r w:rsidR="009C2D53">
          <w:rPr>
            <w:noProof/>
            <w:webHidden/>
          </w:rPr>
          <w:fldChar w:fldCharType="separate"/>
        </w:r>
        <w:r w:rsidR="009C2D53">
          <w:rPr>
            <w:noProof/>
            <w:webHidden/>
          </w:rPr>
          <w:t>73</w:t>
        </w:r>
        <w:r w:rsidR="009C2D53">
          <w:rPr>
            <w:noProof/>
            <w:webHidden/>
          </w:rPr>
          <w:fldChar w:fldCharType="end"/>
        </w:r>
      </w:hyperlink>
    </w:p>
    <w:p w14:paraId="414C81FF" w14:textId="08C8E5B8" w:rsidR="009C2D53" w:rsidRDefault="00122B06">
      <w:pPr>
        <w:pStyle w:val="Tabladeilustraciones"/>
        <w:tabs>
          <w:tab w:val="right" w:leader="dot" w:pos="9962"/>
        </w:tabs>
        <w:rPr>
          <w:rFonts w:asciiTheme="minorHAnsi" w:eastAsiaTheme="minorEastAsia" w:hAnsiTheme="minorHAnsi" w:cstheme="minorBidi"/>
          <w:noProof/>
          <w:lang w:val="es-CO" w:eastAsia="es-CO"/>
        </w:rPr>
      </w:pPr>
      <w:hyperlink w:anchor="_Toc506988574" w:history="1">
        <w:r w:rsidR="009C2D53" w:rsidRPr="005722CA">
          <w:rPr>
            <w:rStyle w:val="Hipervnculo"/>
            <w:rFonts w:ascii="Arial" w:hAnsi="Arial" w:cs="Arial"/>
            <w:noProof/>
          </w:rPr>
          <w:t>Tabla 11. PNC Modelo Costos Operativos para para aquellas personas prestadoras con APS del segundo segmento, que optaron por aplicar la metodología correspondiente al primero y que hacen parte del grupo básico</w:t>
        </w:r>
        <w:r w:rsidR="009C2D53">
          <w:rPr>
            <w:noProof/>
            <w:webHidden/>
          </w:rPr>
          <w:tab/>
        </w:r>
        <w:r w:rsidR="009C2D53">
          <w:rPr>
            <w:noProof/>
            <w:webHidden/>
          </w:rPr>
          <w:fldChar w:fldCharType="begin"/>
        </w:r>
        <w:r w:rsidR="009C2D53">
          <w:rPr>
            <w:noProof/>
            <w:webHidden/>
          </w:rPr>
          <w:instrText xml:space="preserve"> PAGEREF _Toc506988574 \h </w:instrText>
        </w:r>
        <w:r w:rsidR="009C2D53">
          <w:rPr>
            <w:noProof/>
            <w:webHidden/>
          </w:rPr>
        </w:r>
        <w:r w:rsidR="009C2D53">
          <w:rPr>
            <w:noProof/>
            <w:webHidden/>
          </w:rPr>
          <w:fldChar w:fldCharType="separate"/>
        </w:r>
        <w:r w:rsidR="009C2D53">
          <w:rPr>
            <w:noProof/>
            <w:webHidden/>
          </w:rPr>
          <w:t>74</w:t>
        </w:r>
        <w:r w:rsidR="009C2D53">
          <w:rPr>
            <w:noProof/>
            <w:webHidden/>
          </w:rPr>
          <w:fldChar w:fldCharType="end"/>
        </w:r>
      </w:hyperlink>
    </w:p>
    <w:p w14:paraId="23135EFB" w14:textId="76E5BD8C" w:rsidR="00505CEA" w:rsidRPr="00604CC6" w:rsidRDefault="00E626A6" w:rsidP="00505CEA">
      <w:pPr>
        <w:spacing w:after="0" w:line="240" w:lineRule="auto"/>
        <w:jc w:val="both"/>
        <w:rPr>
          <w:rFonts w:ascii="Arial" w:hAnsi="Arial" w:cs="Arial"/>
          <w:sz w:val="20"/>
          <w:szCs w:val="20"/>
          <w:lang w:val="es-MX"/>
        </w:rPr>
      </w:pPr>
      <w:r w:rsidRPr="00604CC6">
        <w:rPr>
          <w:rFonts w:ascii="Arial" w:hAnsi="Arial" w:cs="Arial"/>
          <w:sz w:val="20"/>
          <w:szCs w:val="20"/>
          <w:lang w:val="es-MX"/>
        </w:rPr>
        <w:fldChar w:fldCharType="end"/>
      </w:r>
    </w:p>
    <w:p w14:paraId="392F7EAD" w14:textId="77777777" w:rsidR="00AA7A4C" w:rsidRPr="00604CC6" w:rsidRDefault="00AA7A4C" w:rsidP="005E44BF">
      <w:pPr>
        <w:spacing w:after="0" w:line="240" w:lineRule="auto"/>
        <w:jc w:val="both"/>
        <w:rPr>
          <w:rFonts w:ascii="Arial" w:hAnsi="Arial" w:cs="Arial"/>
          <w:sz w:val="20"/>
          <w:szCs w:val="20"/>
          <w:lang w:val="es-MX"/>
        </w:rPr>
      </w:pPr>
    </w:p>
    <w:p w14:paraId="6E1B953A" w14:textId="77777777" w:rsidR="00505CEA" w:rsidRPr="00604CC6" w:rsidRDefault="00505CEA" w:rsidP="004953A2">
      <w:pPr>
        <w:spacing w:after="0" w:line="240" w:lineRule="auto"/>
        <w:jc w:val="center"/>
        <w:rPr>
          <w:rFonts w:ascii="Arial" w:hAnsi="Arial" w:cs="Arial"/>
          <w:b/>
          <w:sz w:val="20"/>
          <w:szCs w:val="20"/>
          <w:lang w:val="es-MX"/>
        </w:rPr>
      </w:pPr>
    </w:p>
    <w:p w14:paraId="3338BEDE" w14:textId="77777777" w:rsidR="00505CEA" w:rsidRPr="00604CC6" w:rsidRDefault="00505CEA" w:rsidP="004953A2">
      <w:pPr>
        <w:spacing w:after="0" w:line="240" w:lineRule="auto"/>
        <w:jc w:val="center"/>
        <w:rPr>
          <w:rFonts w:ascii="Arial" w:hAnsi="Arial" w:cs="Arial"/>
          <w:b/>
          <w:sz w:val="20"/>
          <w:szCs w:val="20"/>
          <w:lang w:val="es-MX"/>
        </w:rPr>
      </w:pPr>
    </w:p>
    <w:p w14:paraId="22FF1A99" w14:textId="77777777" w:rsidR="00505CEA" w:rsidRPr="00604CC6" w:rsidRDefault="00505CEA" w:rsidP="004953A2">
      <w:pPr>
        <w:spacing w:after="0" w:line="240" w:lineRule="auto"/>
        <w:jc w:val="center"/>
        <w:rPr>
          <w:rFonts w:ascii="Arial" w:hAnsi="Arial" w:cs="Arial"/>
          <w:b/>
          <w:sz w:val="20"/>
          <w:szCs w:val="20"/>
          <w:lang w:val="es-MX"/>
        </w:rPr>
      </w:pPr>
    </w:p>
    <w:p w14:paraId="2FAC3228" w14:textId="77777777" w:rsidR="00505CEA" w:rsidRDefault="00505CEA" w:rsidP="004953A2">
      <w:pPr>
        <w:spacing w:after="0" w:line="240" w:lineRule="auto"/>
        <w:jc w:val="center"/>
        <w:rPr>
          <w:rFonts w:ascii="Arial" w:hAnsi="Arial" w:cs="Arial"/>
          <w:b/>
          <w:sz w:val="20"/>
          <w:szCs w:val="20"/>
          <w:lang w:val="es-MX"/>
        </w:rPr>
      </w:pPr>
    </w:p>
    <w:p w14:paraId="7C0CE273" w14:textId="77777777" w:rsidR="00505CEA" w:rsidRDefault="00505CEA" w:rsidP="004953A2">
      <w:pPr>
        <w:spacing w:after="0" w:line="240" w:lineRule="auto"/>
        <w:jc w:val="center"/>
        <w:rPr>
          <w:rFonts w:ascii="Arial" w:hAnsi="Arial" w:cs="Arial"/>
          <w:b/>
          <w:sz w:val="20"/>
          <w:szCs w:val="20"/>
          <w:lang w:val="es-MX"/>
        </w:rPr>
      </w:pPr>
    </w:p>
    <w:p w14:paraId="15583F48" w14:textId="77777777" w:rsidR="00505CEA" w:rsidRDefault="00505CEA" w:rsidP="004953A2">
      <w:pPr>
        <w:spacing w:after="0" w:line="240" w:lineRule="auto"/>
        <w:jc w:val="center"/>
        <w:rPr>
          <w:rFonts w:ascii="Arial" w:hAnsi="Arial" w:cs="Arial"/>
          <w:b/>
          <w:sz w:val="20"/>
          <w:szCs w:val="20"/>
          <w:lang w:val="es-MX"/>
        </w:rPr>
      </w:pPr>
    </w:p>
    <w:p w14:paraId="7580570A" w14:textId="77777777" w:rsidR="00505CEA" w:rsidRDefault="00505CEA" w:rsidP="004953A2">
      <w:pPr>
        <w:spacing w:after="0" w:line="240" w:lineRule="auto"/>
        <w:jc w:val="center"/>
        <w:rPr>
          <w:rFonts w:ascii="Arial" w:hAnsi="Arial" w:cs="Arial"/>
          <w:b/>
          <w:sz w:val="20"/>
          <w:szCs w:val="20"/>
          <w:lang w:val="es-MX"/>
        </w:rPr>
      </w:pPr>
    </w:p>
    <w:p w14:paraId="57980913" w14:textId="77777777" w:rsidR="00505CEA" w:rsidRDefault="00505CEA" w:rsidP="004953A2">
      <w:pPr>
        <w:spacing w:after="0" w:line="240" w:lineRule="auto"/>
        <w:jc w:val="center"/>
        <w:rPr>
          <w:rFonts w:ascii="Arial" w:hAnsi="Arial" w:cs="Arial"/>
          <w:b/>
          <w:sz w:val="20"/>
          <w:szCs w:val="20"/>
          <w:lang w:val="es-MX"/>
        </w:rPr>
      </w:pPr>
    </w:p>
    <w:p w14:paraId="7EA11436" w14:textId="77777777" w:rsidR="00505CEA" w:rsidRDefault="00505CEA" w:rsidP="004953A2">
      <w:pPr>
        <w:spacing w:after="0" w:line="240" w:lineRule="auto"/>
        <w:jc w:val="center"/>
        <w:rPr>
          <w:rFonts w:ascii="Arial" w:hAnsi="Arial" w:cs="Arial"/>
          <w:b/>
          <w:sz w:val="20"/>
          <w:szCs w:val="20"/>
          <w:lang w:val="es-MX"/>
        </w:rPr>
      </w:pPr>
    </w:p>
    <w:p w14:paraId="0491548E" w14:textId="77777777" w:rsidR="005044CF" w:rsidRDefault="005044CF" w:rsidP="005E44BF">
      <w:pPr>
        <w:spacing w:after="0" w:line="240" w:lineRule="auto"/>
        <w:jc w:val="center"/>
        <w:rPr>
          <w:rFonts w:ascii="Arial" w:hAnsi="Arial" w:cs="Arial"/>
          <w:b/>
          <w:sz w:val="20"/>
          <w:szCs w:val="20"/>
          <w:lang w:val="es-MX"/>
        </w:rPr>
      </w:pPr>
    </w:p>
    <w:p w14:paraId="566585A8" w14:textId="77777777" w:rsidR="005044CF" w:rsidRPr="00744C19" w:rsidRDefault="005044CF" w:rsidP="005E44BF">
      <w:pPr>
        <w:spacing w:after="0" w:line="240" w:lineRule="auto"/>
        <w:jc w:val="both"/>
        <w:rPr>
          <w:rFonts w:ascii="Arial" w:hAnsi="Arial" w:cs="Arial"/>
          <w:sz w:val="20"/>
          <w:szCs w:val="20"/>
          <w:lang w:val="es-MX"/>
        </w:rPr>
      </w:pPr>
    </w:p>
    <w:p w14:paraId="0FC54F1B" w14:textId="77777777" w:rsidR="005044CF" w:rsidRPr="00744C19" w:rsidRDefault="005044CF" w:rsidP="005E44BF">
      <w:pPr>
        <w:spacing w:after="0" w:line="240" w:lineRule="auto"/>
        <w:jc w:val="both"/>
        <w:rPr>
          <w:rFonts w:ascii="Arial" w:hAnsi="Arial" w:cs="Arial"/>
          <w:sz w:val="20"/>
          <w:szCs w:val="20"/>
          <w:lang w:val="es-MX"/>
        </w:rPr>
      </w:pPr>
    </w:p>
    <w:p w14:paraId="1F7886D1" w14:textId="77777777" w:rsidR="00E3654E" w:rsidRPr="00744C19" w:rsidRDefault="00E3654E" w:rsidP="005E44BF">
      <w:pPr>
        <w:spacing w:after="0" w:line="240" w:lineRule="auto"/>
        <w:jc w:val="both"/>
        <w:rPr>
          <w:rFonts w:ascii="Arial" w:hAnsi="Arial" w:cs="Arial"/>
          <w:sz w:val="20"/>
          <w:szCs w:val="20"/>
          <w:lang w:val="es-MX"/>
        </w:rPr>
      </w:pPr>
    </w:p>
    <w:p w14:paraId="6DD8C8C1" w14:textId="77777777" w:rsidR="00744C19" w:rsidRPr="00744C19" w:rsidRDefault="00461FAA" w:rsidP="009F4942">
      <w:pPr>
        <w:pStyle w:val="Ttulo1"/>
        <w:rPr>
          <w:lang w:val="es-MX"/>
        </w:rPr>
      </w:pPr>
      <w:r w:rsidRPr="00744C19">
        <w:rPr>
          <w:sz w:val="24"/>
          <w:szCs w:val="24"/>
          <w:lang w:val="es-MX"/>
        </w:rPr>
        <w:br w:type="page"/>
      </w:r>
      <w:bookmarkStart w:id="1" w:name="_Toc506988575"/>
      <w:r w:rsidR="00911E5A" w:rsidRPr="00911E5A">
        <w:rPr>
          <w:lang w:val="es-MX"/>
        </w:rPr>
        <w:lastRenderedPageBreak/>
        <w:t>PROCESO DE PARTICIPACIÓN</w:t>
      </w:r>
      <w:bookmarkEnd w:id="1"/>
    </w:p>
    <w:p w14:paraId="309A833C" w14:textId="77777777" w:rsidR="00744C19" w:rsidRDefault="00744C19" w:rsidP="00744C19">
      <w:pPr>
        <w:spacing w:after="0" w:line="240" w:lineRule="auto"/>
        <w:jc w:val="both"/>
        <w:rPr>
          <w:rFonts w:ascii="Arial" w:hAnsi="Arial" w:cs="Arial"/>
          <w:sz w:val="20"/>
          <w:szCs w:val="20"/>
          <w:lang w:val="es-MX"/>
        </w:rPr>
      </w:pPr>
    </w:p>
    <w:p w14:paraId="32A956A9" w14:textId="77777777" w:rsidR="00E812CD" w:rsidRPr="00097873" w:rsidRDefault="00E812CD" w:rsidP="007D7C05">
      <w:pPr>
        <w:spacing w:after="0" w:line="240" w:lineRule="auto"/>
        <w:jc w:val="both"/>
        <w:rPr>
          <w:rFonts w:ascii="Arial" w:hAnsi="Arial" w:cs="Arial"/>
          <w:i/>
          <w:sz w:val="20"/>
          <w:szCs w:val="20"/>
          <w:lang w:val="es-ES_tradnl" w:eastAsia="es-ES"/>
        </w:rPr>
      </w:pPr>
      <w:r w:rsidRPr="00D8184E">
        <w:rPr>
          <w:rFonts w:ascii="Arial" w:hAnsi="Arial" w:cs="Arial"/>
          <w:sz w:val="20"/>
          <w:szCs w:val="20"/>
          <w:lang w:val="es-ES_tradnl" w:eastAsia="es-ES"/>
        </w:rPr>
        <w:t xml:space="preserve">En desarrollo de sus competencias legales definidas en el artículo 126 de la Ley 142 de 1994, según las cuales las fórmulas tarifarias tendrán una vigencia de cinco años, y teniendo en cuenta lo establecido en el numeral 11.4 del artículo 2.3.6.3.3.11 del Decreto </w:t>
      </w:r>
      <w:r w:rsidRPr="00D8184E">
        <w:rPr>
          <w:rFonts w:ascii="Arial" w:hAnsi="Arial" w:cs="Arial"/>
          <w:color w:val="000000"/>
          <w:sz w:val="20"/>
          <w:szCs w:val="20"/>
          <w:lang w:eastAsia="es-CO"/>
        </w:rPr>
        <w:t>1077 de 2015</w:t>
      </w:r>
      <w:r w:rsidRPr="00D8184E">
        <w:rPr>
          <w:rFonts w:ascii="Arial" w:hAnsi="Arial" w:cs="Arial"/>
          <w:sz w:val="20"/>
          <w:szCs w:val="20"/>
          <w:lang w:val="es-ES_tradnl" w:eastAsia="es-ES"/>
        </w:rPr>
        <w:t xml:space="preserve">, la Comisión de Regulación de Agua Potable y Saneamiento - CRA – expidió el 21 de abril de 2017 la Resolución CRA 791 de 2017 </w:t>
      </w:r>
      <w:r w:rsidRPr="00D8184E">
        <w:rPr>
          <w:rFonts w:ascii="Arial" w:hAnsi="Arial" w:cs="Arial"/>
          <w:i/>
          <w:sz w:val="20"/>
          <w:szCs w:val="20"/>
          <w:lang w:val="es-ES_tradnl" w:eastAsia="es-ES"/>
        </w:rPr>
        <w:t>““Por la cual se presenta el proyecto de resolución ‘Por la cual se presentan las variables que conforman</w:t>
      </w:r>
      <w:r w:rsidRPr="00E812CD">
        <w:rPr>
          <w:rFonts w:ascii="Arial" w:hAnsi="Arial" w:cs="Arial"/>
          <w:i/>
          <w:sz w:val="20"/>
          <w:szCs w:val="20"/>
          <w:lang w:val="es-ES_tradnl" w:eastAsia="es-ES"/>
        </w:rPr>
        <w:t xml:space="preserve"> los modelos de eficiencia establecidos en la Resolución CRA 688 de 2014, para determinar los puntajes de eficiencia comparativa PDEA y se dictan otras disposiciones’, y se inicia el proceso de discusión directa con los usuarios y agentes del sector.”</w:t>
      </w:r>
    </w:p>
    <w:p w14:paraId="256E5E46" w14:textId="77777777" w:rsidR="00E812CD" w:rsidRPr="00097873" w:rsidRDefault="00E812CD" w:rsidP="007D7C05">
      <w:pPr>
        <w:spacing w:after="0" w:line="240" w:lineRule="auto"/>
        <w:jc w:val="both"/>
        <w:rPr>
          <w:rFonts w:ascii="Arial" w:hAnsi="Arial" w:cs="Arial"/>
          <w:sz w:val="20"/>
          <w:szCs w:val="20"/>
          <w:lang w:val="es-ES_tradnl" w:eastAsia="es-ES"/>
        </w:rPr>
      </w:pPr>
    </w:p>
    <w:p w14:paraId="162364D8" w14:textId="77777777" w:rsidR="00E812CD" w:rsidRPr="00097873" w:rsidRDefault="00E812CD" w:rsidP="007D7C05">
      <w:pPr>
        <w:autoSpaceDE w:val="0"/>
        <w:autoSpaceDN w:val="0"/>
        <w:adjustRightInd w:val="0"/>
        <w:spacing w:after="0" w:line="240" w:lineRule="auto"/>
        <w:jc w:val="both"/>
        <w:rPr>
          <w:rFonts w:ascii="Arial" w:hAnsi="Arial" w:cs="Arial"/>
          <w:sz w:val="20"/>
          <w:szCs w:val="20"/>
          <w:lang w:val="es-ES_tradnl" w:eastAsia="es-ES"/>
        </w:rPr>
      </w:pPr>
      <w:r w:rsidRPr="00097873">
        <w:rPr>
          <w:rFonts w:ascii="Arial" w:hAnsi="Arial" w:cs="Arial"/>
          <w:sz w:val="20"/>
          <w:szCs w:val="20"/>
          <w:lang w:val="es-ES_tradnl" w:eastAsia="es-ES"/>
        </w:rPr>
        <w:t xml:space="preserve">El plazo de participación ciudadana que se estableció fue de </w:t>
      </w:r>
      <w:r w:rsidR="00EC340F">
        <w:rPr>
          <w:rFonts w:ascii="Arial" w:hAnsi="Arial" w:cs="Arial"/>
          <w:sz w:val="20"/>
          <w:szCs w:val="20"/>
          <w:lang w:val="es-ES_tradnl" w:eastAsia="es-ES"/>
        </w:rPr>
        <w:t>quince (15)</w:t>
      </w:r>
      <w:r w:rsidRPr="00097873">
        <w:rPr>
          <w:rFonts w:ascii="Arial" w:hAnsi="Arial" w:cs="Arial"/>
          <w:sz w:val="20"/>
          <w:szCs w:val="20"/>
          <w:lang w:val="es-ES_tradnl" w:eastAsia="es-ES"/>
        </w:rPr>
        <w:t xml:space="preserve"> días</w:t>
      </w:r>
      <w:r w:rsidR="00EC340F">
        <w:rPr>
          <w:rFonts w:ascii="Arial" w:hAnsi="Arial" w:cs="Arial"/>
          <w:sz w:val="20"/>
          <w:szCs w:val="20"/>
          <w:lang w:val="es-ES_tradnl" w:eastAsia="es-ES"/>
        </w:rPr>
        <w:t xml:space="preserve"> hábiles</w:t>
      </w:r>
      <w:r w:rsidRPr="00097873">
        <w:rPr>
          <w:rFonts w:ascii="Arial" w:hAnsi="Arial" w:cs="Arial"/>
          <w:sz w:val="20"/>
          <w:szCs w:val="20"/>
          <w:lang w:val="es-ES_tradnl" w:eastAsia="es-ES"/>
        </w:rPr>
        <w:t>, comprendido entre el 2</w:t>
      </w:r>
      <w:r>
        <w:rPr>
          <w:rFonts w:ascii="Arial" w:hAnsi="Arial" w:cs="Arial"/>
          <w:sz w:val="20"/>
          <w:szCs w:val="20"/>
          <w:lang w:val="es-ES_tradnl" w:eastAsia="es-ES"/>
        </w:rPr>
        <w:t>6</w:t>
      </w:r>
      <w:r w:rsidRPr="00097873">
        <w:rPr>
          <w:rFonts w:ascii="Arial" w:hAnsi="Arial" w:cs="Arial"/>
          <w:sz w:val="20"/>
          <w:szCs w:val="20"/>
          <w:lang w:val="es-ES_tradnl" w:eastAsia="es-ES"/>
        </w:rPr>
        <w:t xml:space="preserve"> de </w:t>
      </w:r>
      <w:r>
        <w:rPr>
          <w:rFonts w:ascii="Arial" w:hAnsi="Arial" w:cs="Arial"/>
          <w:sz w:val="20"/>
          <w:szCs w:val="20"/>
          <w:lang w:val="es-ES_tradnl" w:eastAsia="es-ES"/>
        </w:rPr>
        <w:t>abril</w:t>
      </w:r>
      <w:r w:rsidRPr="00097873">
        <w:rPr>
          <w:rFonts w:ascii="Arial" w:hAnsi="Arial" w:cs="Arial"/>
          <w:sz w:val="20"/>
          <w:szCs w:val="20"/>
          <w:lang w:val="es-ES_tradnl" w:eastAsia="es-ES"/>
        </w:rPr>
        <w:t xml:space="preserve"> de 201</w:t>
      </w:r>
      <w:r>
        <w:rPr>
          <w:rFonts w:ascii="Arial" w:hAnsi="Arial" w:cs="Arial"/>
          <w:sz w:val="20"/>
          <w:szCs w:val="20"/>
          <w:lang w:val="es-ES_tradnl" w:eastAsia="es-ES"/>
        </w:rPr>
        <w:t>7</w:t>
      </w:r>
      <w:r w:rsidRPr="00097873">
        <w:rPr>
          <w:rFonts w:ascii="Arial" w:hAnsi="Arial" w:cs="Arial"/>
          <w:sz w:val="20"/>
          <w:szCs w:val="20"/>
          <w:lang w:val="es-ES_tradnl" w:eastAsia="es-ES"/>
        </w:rPr>
        <w:t xml:space="preserve">, fecha en que fue publicada la resolución CRA 760 en el Diario Oficial No. </w:t>
      </w:r>
      <w:r w:rsidRPr="00E812CD">
        <w:rPr>
          <w:rFonts w:ascii="Arial" w:hAnsi="Arial" w:cs="Arial"/>
          <w:sz w:val="20"/>
          <w:szCs w:val="20"/>
          <w:lang w:val="es-ES_tradnl" w:eastAsia="es-ES"/>
        </w:rPr>
        <w:t>50.216</w:t>
      </w:r>
      <w:r w:rsidR="00EC340F" w:rsidRPr="00EC340F">
        <w:rPr>
          <w:rFonts w:ascii="Arial" w:hAnsi="Arial" w:cs="Arial"/>
          <w:sz w:val="20"/>
          <w:szCs w:val="20"/>
          <w:lang w:val="es-ES_tradnl" w:eastAsia="es-ES"/>
        </w:rPr>
        <w:t xml:space="preserve"> </w:t>
      </w:r>
      <w:r w:rsidR="00EC340F" w:rsidRPr="00097873">
        <w:rPr>
          <w:rFonts w:ascii="Arial" w:hAnsi="Arial" w:cs="Arial"/>
          <w:sz w:val="20"/>
          <w:szCs w:val="20"/>
          <w:lang w:val="es-ES_tradnl" w:eastAsia="es-ES"/>
        </w:rPr>
        <w:t xml:space="preserve">y </w:t>
      </w:r>
      <w:r w:rsidR="00EC340F" w:rsidRPr="008632D4">
        <w:rPr>
          <w:rFonts w:ascii="Arial" w:hAnsi="Arial" w:cs="Arial"/>
          <w:sz w:val="20"/>
          <w:szCs w:val="20"/>
          <w:lang w:val="es-ES_tradnl" w:eastAsia="es-ES"/>
        </w:rPr>
        <w:t>el</w:t>
      </w:r>
      <w:r w:rsidR="008632D4" w:rsidRPr="008632D4">
        <w:rPr>
          <w:rFonts w:ascii="Arial" w:hAnsi="Arial" w:cs="Arial"/>
          <w:sz w:val="20"/>
          <w:szCs w:val="20"/>
          <w:lang w:val="es-ES_tradnl" w:eastAsia="es-ES"/>
        </w:rPr>
        <w:t xml:space="preserve"> 17 de mayo del mismo año</w:t>
      </w:r>
      <w:r w:rsidRPr="008632D4">
        <w:rPr>
          <w:rFonts w:ascii="Arial" w:hAnsi="Arial" w:cs="Arial"/>
          <w:sz w:val="20"/>
          <w:szCs w:val="20"/>
          <w:lang w:val="es-ES_tradnl" w:eastAsia="es-ES"/>
        </w:rPr>
        <w:t xml:space="preserve">. No obstante, </w:t>
      </w:r>
      <w:r w:rsidR="008632D4" w:rsidRPr="008632D4">
        <w:rPr>
          <w:rFonts w:ascii="Arial" w:hAnsi="Arial" w:cs="Arial"/>
          <w:sz w:val="20"/>
          <w:szCs w:val="20"/>
          <w:lang w:val="es-ES_tradnl" w:eastAsia="es-ES"/>
        </w:rPr>
        <w:t xml:space="preserve">de acuerdo con las observaciones recibidas en la participación ciudadana, la CRA expidió la Resolución CRA 796 de 2017, que amplió hasta el 4 de julio de 2017 el plazo de participación de la Resolución CRA 791 de 2017. De igual forma, </w:t>
      </w:r>
      <w:r w:rsidRPr="008632D4">
        <w:rPr>
          <w:rFonts w:ascii="Arial" w:hAnsi="Arial" w:cs="Arial"/>
          <w:sz w:val="20"/>
          <w:szCs w:val="20"/>
          <w:lang w:val="es-ES_tradnl" w:eastAsia="es-ES"/>
        </w:rPr>
        <w:t xml:space="preserve">dentro de las observaciones se incluyó las recibidas hasta el </w:t>
      </w:r>
      <w:r w:rsidR="008632D4" w:rsidRPr="008632D4">
        <w:rPr>
          <w:rFonts w:ascii="Arial" w:hAnsi="Arial" w:cs="Arial"/>
          <w:sz w:val="20"/>
          <w:szCs w:val="20"/>
          <w:lang w:val="es-ES_tradnl" w:eastAsia="es-ES"/>
        </w:rPr>
        <w:t>5</w:t>
      </w:r>
      <w:r w:rsidRPr="008632D4">
        <w:rPr>
          <w:rFonts w:ascii="Arial" w:hAnsi="Arial" w:cs="Arial"/>
          <w:sz w:val="20"/>
          <w:szCs w:val="20"/>
          <w:lang w:val="es-ES_tradnl" w:eastAsia="es-ES"/>
        </w:rPr>
        <w:t xml:space="preserve"> de </w:t>
      </w:r>
      <w:r w:rsidR="008632D4" w:rsidRPr="008632D4">
        <w:rPr>
          <w:rFonts w:ascii="Arial" w:hAnsi="Arial" w:cs="Arial"/>
          <w:sz w:val="20"/>
          <w:szCs w:val="20"/>
          <w:lang w:val="es-ES_tradnl" w:eastAsia="es-ES"/>
        </w:rPr>
        <w:t>julio</w:t>
      </w:r>
      <w:r w:rsidRPr="008632D4">
        <w:rPr>
          <w:rFonts w:ascii="Arial" w:hAnsi="Arial" w:cs="Arial"/>
          <w:sz w:val="20"/>
          <w:szCs w:val="20"/>
          <w:lang w:val="es-ES_tradnl" w:eastAsia="es-ES"/>
        </w:rPr>
        <w:t xml:space="preserve"> de 201</w:t>
      </w:r>
      <w:r w:rsidR="008632D4" w:rsidRPr="008632D4">
        <w:rPr>
          <w:rFonts w:ascii="Arial" w:hAnsi="Arial" w:cs="Arial"/>
          <w:sz w:val="20"/>
          <w:szCs w:val="20"/>
          <w:lang w:val="es-ES_tradnl" w:eastAsia="es-ES"/>
        </w:rPr>
        <w:t>7</w:t>
      </w:r>
      <w:r w:rsidRPr="008632D4">
        <w:rPr>
          <w:rFonts w:ascii="Arial" w:hAnsi="Arial" w:cs="Arial"/>
          <w:sz w:val="20"/>
          <w:szCs w:val="20"/>
          <w:lang w:val="es-ES_tradnl" w:eastAsia="es-ES"/>
        </w:rPr>
        <w:t>.</w:t>
      </w:r>
    </w:p>
    <w:p w14:paraId="66E07BE5" w14:textId="77777777" w:rsidR="00E812CD" w:rsidRPr="00097873" w:rsidRDefault="00E812CD" w:rsidP="007D7C05">
      <w:pPr>
        <w:spacing w:after="0" w:line="240" w:lineRule="auto"/>
        <w:jc w:val="both"/>
        <w:rPr>
          <w:rFonts w:ascii="Arial" w:hAnsi="Arial" w:cs="Arial"/>
          <w:sz w:val="20"/>
          <w:szCs w:val="20"/>
          <w:lang w:val="es-ES_tradnl" w:eastAsia="es-ES"/>
        </w:rPr>
      </w:pPr>
    </w:p>
    <w:p w14:paraId="4CFE00B1" w14:textId="77777777" w:rsidR="00E812CD" w:rsidRPr="00097873" w:rsidRDefault="00E812CD" w:rsidP="007D7C05">
      <w:pPr>
        <w:spacing w:after="0" w:line="240" w:lineRule="auto"/>
        <w:jc w:val="both"/>
        <w:rPr>
          <w:rFonts w:ascii="Arial" w:hAnsi="Arial" w:cs="Arial"/>
          <w:sz w:val="20"/>
          <w:szCs w:val="20"/>
          <w:lang w:val="es-ES_tradnl" w:eastAsia="es-ES"/>
        </w:rPr>
      </w:pPr>
      <w:r w:rsidRPr="00097873">
        <w:rPr>
          <w:rFonts w:ascii="Arial" w:hAnsi="Arial" w:cs="Arial"/>
          <w:sz w:val="20"/>
          <w:szCs w:val="20"/>
          <w:lang w:val="es-ES_tradnl" w:eastAsia="es-ES"/>
        </w:rPr>
        <w:t xml:space="preserve">Dentro del proceso de participación ciudadana efectuado, la Comisión recibió </w:t>
      </w:r>
      <w:r w:rsidR="007D7C05">
        <w:rPr>
          <w:rFonts w:ascii="Arial" w:hAnsi="Arial" w:cs="Arial"/>
          <w:sz w:val="20"/>
          <w:szCs w:val="20"/>
          <w:lang w:val="es-ES_tradnl" w:eastAsia="es-ES"/>
        </w:rPr>
        <w:t xml:space="preserve">48 </w:t>
      </w:r>
      <w:r w:rsidRPr="00097873">
        <w:rPr>
          <w:rFonts w:ascii="Arial" w:hAnsi="Arial" w:cs="Arial"/>
          <w:sz w:val="20"/>
          <w:szCs w:val="20"/>
          <w:lang w:val="es-ES_tradnl" w:eastAsia="es-ES"/>
        </w:rPr>
        <w:t>observaciones</w:t>
      </w:r>
      <w:r w:rsidR="00EC340F">
        <w:rPr>
          <w:rFonts w:ascii="Arial" w:hAnsi="Arial" w:cs="Arial"/>
          <w:sz w:val="20"/>
          <w:szCs w:val="20"/>
          <w:lang w:val="es-ES_tradnl" w:eastAsia="es-ES"/>
        </w:rPr>
        <w:t>,</w:t>
      </w:r>
      <w:r w:rsidRPr="00097873">
        <w:rPr>
          <w:rFonts w:ascii="Arial" w:hAnsi="Arial" w:cs="Arial"/>
          <w:sz w:val="20"/>
          <w:szCs w:val="20"/>
          <w:lang w:val="es-ES_tradnl" w:eastAsia="es-ES"/>
        </w:rPr>
        <w:t xml:space="preserve"> </w:t>
      </w:r>
      <w:r w:rsidR="007D7C05">
        <w:rPr>
          <w:rFonts w:ascii="Arial" w:hAnsi="Arial" w:cs="Arial"/>
          <w:sz w:val="20"/>
          <w:szCs w:val="20"/>
          <w:lang w:val="es-ES_tradnl" w:eastAsia="es-ES"/>
        </w:rPr>
        <w:t xml:space="preserve">29 </w:t>
      </w:r>
      <w:r w:rsidRPr="00097873">
        <w:rPr>
          <w:rFonts w:ascii="Arial" w:hAnsi="Arial" w:cs="Arial"/>
          <w:sz w:val="20"/>
          <w:szCs w:val="20"/>
          <w:lang w:val="es-ES_tradnl" w:eastAsia="es-ES"/>
        </w:rPr>
        <w:t xml:space="preserve">reparos y </w:t>
      </w:r>
      <w:r w:rsidR="00DF437C">
        <w:rPr>
          <w:rFonts w:ascii="Arial" w:hAnsi="Arial" w:cs="Arial"/>
          <w:sz w:val="20"/>
          <w:szCs w:val="20"/>
          <w:lang w:val="es-ES_tradnl" w:eastAsia="es-ES"/>
        </w:rPr>
        <w:t>26</w:t>
      </w:r>
      <w:r w:rsidR="007D7C05">
        <w:rPr>
          <w:rFonts w:ascii="Arial" w:hAnsi="Arial" w:cs="Arial"/>
          <w:sz w:val="20"/>
          <w:szCs w:val="20"/>
          <w:lang w:val="es-ES_tradnl" w:eastAsia="es-ES"/>
        </w:rPr>
        <w:t xml:space="preserve"> </w:t>
      </w:r>
      <w:r w:rsidRPr="00097873">
        <w:rPr>
          <w:rFonts w:ascii="Arial" w:hAnsi="Arial" w:cs="Arial"/>
          <w:sz w:val="20"/>
          <w:szCs w:val="20"/>
          <w:lang w:val="es-ES_tradnl" w:eastAsia="es-ES"/>
        </w:rPr>
        <w:t xml:space="preserve">sugerencias al proyecto de resolución, por correo electrónico, por medio escrito y durante una jornada de participación presencial realizada en la ciudad de Bogotá el </w:t>
      </w:r>
      <w:r>
        <w:rPr>
          <w:rFonts w:ascii="Arial" w:hAnsi="Arial" w:cs="Arial"/>
          <w:sz w:val="20"/>
          <w:szCs w:val="20"/>
          <w:lang w:val="es-ES_tradnl" w:eastAsia="es-ES"/>
        </w:rPr>
        <w:t>5</w:t>
      </w:r>
      <w:r w:rsidRPr="00097873">
        <w:rPr>
          <w:rFonts w:ascii="Arial" w:hAnsi="Arial" w:cs="Arial"/>
          <w:sz w:val="20"/>
          <w:szCs w:val="20"/>
          <w:lang w:val="es-ES_tradnl" w:eastAsia="es-ES"/>
        </w:rPr>
        <w:t xml:space="preserve"> de </w:t>
      </w:r>
      <w:r>
        <w:rPr>
          <w:rFonts w:ascii="Arial" w:hAnsi="Arial" w:cs="Arial"/>
          <w:sz w:val="20"/>
          <w:szCs w:val="20"/>
          <w:lang w:val="es-ES_tradnl" w:eastAsia="es-ES"/>
        </w:rPr>
        <w:t>mayo de 2017</w:t>
      </w:r>
      <w:r w:rsidRPr="00097873">
        <w:rPr>
          <w:rFonts w:ascii="Arial" w:hAnsi="Arial" w:cs="Arial"/>
          <w:sz w:val="20"/>
          <w:szCs w:val="20"/>
          <w:lang w:val="es-ES_tradnl" w:eastAsia="es-ES"/>
        </w:rPr>
        <w:t xml:space="preserve"> en las oficinas de la Asociación Nacional de Empresas de Servicios Públicos y Comunicaciones - ANDESCO.</w:t>
      </w:r>
    </w:p>
    <w:p w14:paraId="476D73D9" w14:textId="77777777" w:rsidR="00E812CD" w:rsidRPr="00097873" w:rsidRDefault="00E812CD" w:rsidP="007D7C05">
      <w:pPr>
        <w:autoSpaceDE w:val="0"/>
        <w:autoSpaceDN w:val="0"/>
        <w:adjustRightInd w:val="0"/>
        <w:spacing w:after="0" w:line="240" w:lineRule="auto"/>
        <w:jc w:val="both"/>
        <w:rPr>
          <w:rFonts w:ascii="Arial" w:hAnsi="Arial" w:cs="Arial"/>
          <w:sz w:val="20"/>
          <w:szCs w:val="20"/>
          <w:lang w:val="es-ES_tradnl" w:eastAsia="es-ES"/>
        </w:rPr>
      </w:pPr>
    </w:p>
    <w:p w14:paraId="4D0214BD" w14:textId="77777777" w:rsidR="00335B23" w:rsidRDefault="00E812CD" w:rsidP="007D7C05">
      <w:pPr>
        <w:spacing w:after="0" w:line="240" w:lineRule="auto"/>
        <w:jc w:val="both"/>
        <w:rPr>
          <w:rFonts w:ascii="Arial" w:hAnsi="Arial" w:cs="Arial"/>
          <w:sz w:val="20"/>
          <w:szCs w:val="20"/>
          <w:lang w:val="es-ES_tradnl" w:eastAsia="es-ES"/>
        </w:rPr>
      </w:pPr>
      <w:r w:rsidRPr="00097873">
        <w:rPr>
          <w:rFonts w:ascii="Arial" w:hAnsi="Arial" w:cs="Arial"/>
          <w:sz w:val="20"/>
          <w:szCs w:val="20"/>
          <w:lang w:val="es-ES_tradnl" w:eastAsia="es-ES"/>
        </w:rPr>
        <w:t xml:space="preserve">Al cierre del periodo de participación ciudadana se recibieron </w:t>
      </w:r>
      <w:r w:rsidR="00DF437C">
        <w:rPr>
          <w:rFonts w:ascii="Arial" w:hAnsi="Arial" w:cs="Arial"/>
          <w:sz w:val="20"/>
          <w:szCs w:val="20"/>
          <w:lang w:val="es-ES_tradnl" w:eastAsia="es-ES"/>
        </w:rPr>
        <w:t>13</w:t>
      </w:r>
      <w:r w:rsidRPr="00097873">
        <w:rPr>
          <w:rFonts w:ascii="Arial" w:hAnsi="Arial" w:cs="Arial"/>
          <w:sz w:val="20"/>
          <w:szCs w:val="20"/>
          <w:lang w:val="es-ES_tradnl" w:eastAsia="es-ES"/>
        </w:rPr>
        <w:t xml:space="preserve"> comunicaciones escritas, igualmente de </w:t>
      </w:r>
      <w:r w:rsidR="00DF437C">
        <w:rPr>
          <w:rFonts w:ascii="Arial" w:hAnsi="Arial" w:cs="Arial"/>
          <w:sz w:val="20"/>
          <w:szCs w:val="20"/>
          <w:lang w:val="es-ES_tradnl" w:eastAsia="es-ES"/>
        </w:rPr>
        <w:t>13</w:t>
      </w:r>
      <w:r w:rsidRPr="00097873">
        <w:rPr>
          <w:rFonts w:ascii="Arial" w:hAnsi="Arial" w:cs="Arial"/>
          <w:sz w:val="20"/>
          <w:szCs w:val="20"/>
          <w:lang w:val="es-ES_tradnl" w:eastAsia="es-ES"/>
        </w:rPr>
        <w:t xml:space="preserve"> participantes, con un total de </w:t>
      </w:r>
      <w:r w:rsidR="00DF437C">
        <w:rPr>
          <w:rFonts w:ascii="Arial" w:hAnsi="Arial" w:cs="Arial"/>
          <w:sz w:val="20"/>
          <w:szCs w:val="20"/>
          <w:lang w:val="es-ES_tradnl" w:eastAsia="es-ES"/>
        </w:rPr>
        <w:t>103</w:t>
      </w:r>
      <w:r w:rsidRPr="00097873">
        <w:rPr>
          <w:rFonts w:ascii="Arial" w:hAnsi="Arial" w:cs="Arial"/>
          <w:sz w:val="20"/>
          <w:szCs w:val="20"/>
          <w:lang w:val="es-ES_tradnl" w:eastAsia="es-ES"/>
        </w:rPr>
        <w:t xml:space="preserve"> observaciones. Las comunicaciones se relacionan en la siguiente tabla</w:t>
      </w:r>
      <w:r w:rsidR="007D7C05">
        <w:rPr>
          <w:rFonts w:ascii="Arial" w:hAnsi="Arial" w:cs="Arial"/>
          <w:sz w:val="20"/>
          <w:szCs w:val="20"/>
          <w:lang w:val="es-ES_tradnl" w:eastAsia="es-ES"/>
        </w:rPr>
        <w:t>:</w:t>
      </w:r>
    </w:p>
    <w:p w14:paraId="63E26662" w14:textId="77777777" w:rsidR="007D7C05" w:rsidRPr="007D7C05" w:rsidRDefault="007D7C05" w:rsidP="007D7C05">
      <w:pPr>
        <w:spacing w:after="0" w:line="240" w:lineRule="auto"/>
        <w:jc w:val="center"/>
        <w:rPr>
          <w:rFonts w:ascii="Arial" w:hAnsi="Arial" w:cs="Arial"/>
          <w:sz w:val="20"/>
          <w:szCs w:val="20"/>
          <w:lang w:val="es-ES_tradnl" w:eastAsia="es-ES"/>
        </w:rPr>
      </w:pPr>
    </w:p>
    <w:p w14:paraId="7F7EA1A1" w14:textId="1587F7E1" w:rsidR="00E812CD" w:rsidRDefault="007D7C05" w:rsidP="007D7C05">
      <w:pPr>
        <w:pStyle w:val="Descripcin"/>
        <w:spacing w:after="0" w:line="240" w:lineRule="auto"/>
        <w:jc w:val="center"/>
        <w:rPr>
          <w:rFonts w:ascii="Arial" w:hAnsi="Arial" w:cs="Arial"/>
          <w:bCs w:val="0"/>
          <w:lang w:val="es-ES_tradnl" w:eastAsia="es-ES"/>
        </w:rPr>
      </w:pPr>
      <w:bookmarkStart w:id="2" w:name="_Toc506988564"/>
      <w:r w:rsidRPr="007D7C05">
        <w:rPr>
          <w:rFonts w:ascii="Arial" w:hAnsi="Arial" w:cs="Arial"/>
        </w:rPr>
        <w:t xml:space="preserve">Tabla </w:t>
      </w:r>
      <w:r w:rsidRPr="007D7C05">
        <w:rPr>
          <w:rFonts w:ascii="Arial" w:hAnsi="Arial" w:cs="Arial"/>
        </w:rPr>
        <w:fldChar w:fldCharType="begin"/>
      </w:r>
      <w:r w:rsidRPr="007D7C05">
        <w:rPr>
          <w:rFonts w:ascii="Arial" w:hAnsi="Arial" w:cs="Arial"/>
        </w:rPr>
        <w:instrText xml:space="preserve"> SEQ Tabla \* ARABIC </w:instrText>
      </w:r>
      <w:r w:rsidRPr="007D7C05">
        <w:rPr>
          <w:rFonts w:ascii="Arial" w:hAnsi="Arial" w:cs="Arial"/>
        </w:rPr>
        <w:fldChar w:fldCharType="separate"/>
      </w:r>
      <w:r w:rsidR="004C0CEB">
        <w:rPr>
          <w:rFonts w:ascii="Arial" w:hAnsi="Arial" w:cs="Arial"/>
          <w:noProof/>
        </w:rPr>
        <w:t>1</w:t>
      </w:r>
      <w:r w:rsidRPr="007D7C05">
        <w:rPr>
          <w:rFonts w:ascii="Arial" w:hAnsi="Arial" w:cs="Arial"/>
        </w:rPr>
        <w:fldChar w:fldCharType="end"/>
      </w:r>
      <w:r w:rsidRPr="007D7C05">
        <w:rPr>
          <w:rFonts w:ascii="Arial" w:hAnsi="Arial" w:cs="Arial"/>
        </w:rPr>
        <w:t xml:space="preserve">. </w:t>
      </w:r>
      <w:r w:rsidRPr="007D7C05">
        <w:rPr>
          <w:rFonts w:ascii="Arial" w:hAnsi="Arial" w:cs="Arial"/>
          <w:bCs w:val="0"/>
          <w:lang w:val="es-ES_tradnl" w:eastAsia="es-ES"/>
        </w:rPr>
        <w:t>Número de observaciones escritas</w:t>
      </w:r>
      <w:bookmarkEnd w:id="2"/>
    </w:p>
    <w:tbl>
      <w:tblPr>
        <w:tblW w:w="9902" w:type="dxa"/>
        <w:tblInd w:w="70" w:type="dxa"/>
        <w:tblCellMar>
          <w:left w:w="70" w:type="dxa"/>
          <w:right w:w="70" w:type="dxa"/>
        </w:tblCellMar>
        <w:tblLook w:val="04A0" w:firstRow="1" w:lastRow="0" w:firstColumn="1" w:lastColumn="0" w:noHBand="0" w:noVBand="1"/>
      </w:tblPr>
      <w:tblGrid>
        <w:gridCol w:w="566"/>
        <w:gridCol w:w="5564"/>
        <w:gridCol w:w="2017"/>
        <w:gridCol w:w="1755"/>
      </w:tblGrid>
      <w:tr w:rsidR="00DF437C" w:rsidRPr="00DF437C" w14:paraId="797F504C" w14:textId="77777777" w:rsidTr="001F2BC1">
        <w:trPr>
          <w:trHeight w:val="291"/>
        </w:trPr>
        <w:tc>
          <w:tcPr>
            <w:tcW w:w="0" w:type="auto"/>
            <w:tcBorders>
              <w:top w:val="nil"/>
              <w:left w:val="nil"/>
              <w:bottom w:val="single" w:sz="12" w:space="0" w:color="FFFFFF"/>
              <w:right w:val="single" w:sz="4" w:space="0" w:color="FFFFFF"/>
            </w:tcBorders>
            <w:shd w:val="clear" w:color="4F81BD" w:fill="4F81BD"/>
            <w:noWrap/>
            <w:vAlign w:val="bottom"/>
            <w:hideMark/>
          </w:tcPr>
          <w:p w14:paraId="380B8A23"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18"/>
                <w:lang w:val="es-CO" w:eastAsia="es-CO"/>
              </w:rPr>
            </w:pPr>
            <w:r w:rsidRPr="00DF437C">
              <w:rPr>
                <w:rFonts w:ascii="Arial" w:eastAsia="Times New Roman" w:hAnsi="Arial" w:cs="Arial"/>
                <w:b/>
                <w:bCs/>
                <w:color w:val="FFFFFF"/>
                <w:sz w:val="18"/>
                <w:szCs w:val="18"/>
                <w:lang w:val="es-CO" w:eastAsia="es-CO"/>
              </w:rPr>
              <w:t>No.</w:t>
            </w:r>
          </w:p>
        </w:tc>
        <w:tc>
          <w:tcPr>
            <w:tcW w:w="5616" w:type="dxa"/>
            <w:tcBorders>
              <w:top w:val="nil"/>
              <w:left w:val="single" w:sz="4" w:space="0" w:color="FFFFFF"/>
              <w:bottom w:val="single" w:sz="12" w:space="0" w:color="FFFFFF"/>
              <w:right w:val="single" w:sz="4" w:space="0" w:color="FFFFFF"/>
            </w:tcBorders>
            <w:shd w:val="clear" w:color="4F81BD" w:fill="4F81BD"/>
            <w:noWrap/>
            <w:vAlign w:val="bottom"/>
            <w:hideMark/>
          </w:tcPr>
          <w:p w14:paraId="2DBF22E1"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18"/>
                <w:lang w:val="es-CO" w:eastAsia="es-CO"/>
              </w:rPr>
            </w:pPr>
            <w:r w:rsidRPr="00DF437C">
              <w:rPr>
                <w:rFonts w:ascii="Arial" w:eastAsia="Times New Roman" w:hAnsi="Arial" w:cs="Arial"/>
                <w:b/>
                <w:bCs/>
                <w:color w:val="FFFFFF"/>
                <w:sz w:val="18"/>
                <w:szCs w:val="18"/>
                <w:lang w:val="es-CO" w:eastAsia="es-CO"/>
              </w:rPr>
              <w:t>Participante</w:t>
            </w:r>
          </w:p>
        </w:tc>
        <w:tc>
          <w:tcPr>
            <w:tcW w:w="2035" w:type="dxa"/>
            <w:tcBorders>
              <w:top w:val="nil"/>
              <w:left w:val="single" w:sz="4" w:space="0" w:color="FFFFFF"/>
              <w:bottom w:val="single" w:sz="12" w:space="0" w:color="FFFFFF"/>
              <w:right w:val="single" w:sz="4" w:space="0" w:color="FFFFFF"/>
            </w:tcBorders>
            <w:shd w:val="clear" w:color="4F81BD" w:fill="4F81BD"/>
            <w:noWrap/>
            <w:vAlign w:val="bottom"/>
            <w:hideMark/>
          </w:tcPr>
          <w:p w14:paraId="18A9D421"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18"/>
                <w:lang w:val="es-CO" w:eastAsia="es-CO"/>
              </w:rPr>
            </w:pPr>
            <w:r w:rsidRPr="00DF437C">
              <w:rPr>
                <w:rFonts w:ascii="Arial" w:eastAsia="Times New Roman" w:hAnsi="Arial" w:cs="Arial"/>
                <w:b/>
                <w:bCs/>
                <w:color w:val="FFFFFF"/>
                <w:sz w:val="18"/>
                <w:szCs w:val="18"/>
                <w:lang w:val="es-CO" w:eastAsia="es-CO"/>
              </w:rPr>
              <w:t>Radicado</w:t>
            </w:r>
          </w:p>
        </w:tc>
        <w:tc>
          <w:tcPr>
            <w:tcW w:w="0" w:type="auto"/>
            <w:tcBorders>
              <w:top w:val="nil"/>
              <w:left w:val="single" w:sz="4" w:space="0" w:color="FFFFFF"/>
              <w:bottom w:val="single" w:sz="12" w:space="0" w:color="FFFFFF"/>
              <w:right w:val="nil"/>
            </w:tcBorders>
            <w:shd w:val="clear" w:color="4F81BD" w:fill="4F81BD"/>
            <w:noWrap/>
            <w:vAlign w:val="bottom"/>
            <w:hideMark/>
          </w:tcPr>
          <w:p w14:paraId="463BA6EB"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18"/>
                <w:lang w:val="es-CO" w:eastAsia="es-CO"/>
              </w:rPr>
            </w:pPr>
            <w:r w:rsidRPr="00DF437C">
              <w:rPr>
                <w:rFonts w:ascii="Arial" w:eastAsia="Times New Roman" w:hAnsi="Arial" w:cs="Arial"/>
                <w:b/>
                <w:bCs/>
                <w:color w:val="FFFFFF"/>
                <w:sz w:val="18"/>
                <w:szCs w:val="18"/>
                <w:lang w:val="es-CO" w:eastAsia="es-CO"/>
              </w:rPr>
              <w:t>No. Observaciones</w:t>
            </w:r>
          </w:p>
        </w:tc>
      </w:tr>
      <w:tr w:rsidR="00DF437C" w:rsidRPr="00DF437C" w14:paraId="0AB50FD2"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24386607"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1</w:t>
            </w:r>
          </w:p>
        </w:tc>
        <w:tc>
          <w:tcPr>
            <w:tcW w:w="561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2AEDC1B"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Aguas de Cartagena - ACUACAR S.A.E.S.P.</w:t>
            </w: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93ECF2D"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20173210045707</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699EC33E"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15</w:t>
            </w:r>
          </w:p>
        </w:tc>
      </w:tr>
      <w:tr w:rsidR="00DF437C" w:rsidRPr="00DF437C" w14:paraId="5AC44F8F"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5F2CAD26"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w:t>
            </w:r>
          </w:p>
        </w:tc>
        <w:tc>
          <w:tcPr>
            <w:tcW w:w="561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FFB7E0B"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ANDESCO</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E1F53C5"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20173210050080</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12DD9C5D"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16</w:t>
            </w:r>
          </w:p>
        </w:tc>
      </w:tr>
      <w:tr w:rsidR="00DF437C" w:rsidRPr="00DF437C" w14:paraId="137195BC"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382D0E7F"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3</w:t>
            </w:r>
          </w:p>
        </w:tc>
        <w:tc>
          <w:tcPr>
            <w:tcW w:w="561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391E70B"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Empre</w:t>
            </w:r>
            <w:r>
              <w:rPr>
                <w:rFonts w:ascii="Arial" w:eastAsia="Times New Roman" w:hAnsi="Arial" w:cs="Arial"/>
                <w:color w:val="000000"/>
                <w:sz w:val="18"/>
                <w:szCs w:val="18"/>
                <w:lang w:val="es-CO" w:eastAsia="es-CO"/>
              </w:rPr>
              <w:t>s</w:t>
            </w:r>
            <w:r w:rsidRPr="00DF437C">
              <w:rPr>
                <w:rFonts w:ascii="Arial" w:eastAsia="Times New Roman" w:hAnsi="Arial" w:cs="Arial"/>
                <w:color w:val="000000"/>
                <w:sz w:val="18"/>
                <w:szCs w:val="18"/>
                <w:lang w:val="es-CO" w:eastAsia="es-CO"/>
              </w:rPr>
              <w:t xml:space="preserve">a Ibaguereña de Acueducto y Alcantarillado IBAL S.A E.S.P - OFICIAL </w:t>
            </w: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F5960B7"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20173210058862</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22E056E0"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1</w:t>
            </w:r>
          </w:p>
        </w:tc>
      </w:tr>
      <w:tr w:rsidR="00DF437C" w:rsidRPr="00DF437C" w14:paraId="48600D3F"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078A1648"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4</w:t>
            </w:r>
          </w:p>
        </w:tc>
        <w:tc>
          <w:tcPr>
            <w:tcW w:w="561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785787C"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Empresa de Acueducto, alcantarillado de Pereira</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66C0CF5"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20173210049612</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6A39D9A9"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9</w:t>
            </w:r>
          </w:p>
        </w:tc>
      </w:tr>
      <w:tr w:rsidR="00DF437C" w:rsidRPr="00DF437C" w14:paraId="336281CD"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27E91676"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5</w:t>
            </w:r>
          </w:p>
        </w:tc>
        <w:tc>
          <w:tcPr>
            <w:tcW w:w="561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40F67E9"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Empresa de acueducto, alcantarillado y aseo de Bogotá EAB</w:t>
            </w: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E123494"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20173210048582</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2B77F0ED"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30</w:t>
            </w:r>
          </w:p>
        </w:tc>
      </w:tr>
      <w:tr w:rsidR="00DF437C" w:rsidRPr="00DF437C" w14:paraId="683F456C"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651A56CF"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6</w:t>
            </w:r>
          </w:p>
        </w:tc>
        <w:tc>
          <w:tcPr>
            <w:tcW w:w="561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E812C06"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Empresa de Obras Sanitarias de Pasto - EMPOPASTO</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C82C070"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20173210047242</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3F1D75DC"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w:t>
            </w:r>
          </w:p>
        </w:tc>
      </w:tr>
      <w:tr w:rsidR="00DF437C" w:rsidRPr="00DF437C" w14:paraId="4D32422F"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5E572B88"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7</w:t>
            </w:r>
          </w:p>
        </w:tc>
        <w:tc>
          <w:tcPr>
            <w:tcW w:w="561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12DDE71"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Empresa de Servicios Públicos de Valledupar  EMDUPAR S.A. E.S.P</w:t>
            </w: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7BB6D50"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20173210059252</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1C5D9538"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w:t>
            </w:r>
          </w:p>
        </w:tc>
      </w:tr>
      <w:tr w:rsidR="00DF437C" w:rsidRPr="00DF437C" w14:paraId="013F72BA"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1C21F1CC"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8</w:t>
            </w:r>
          </w:p>
        </w:tc>
        <w:tc>
          <w:tcPr>
            <w:tcW w:w="561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D45E817"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 xml:space="preserve">Empresa Ibaguereña de Acueducto y Alcantarillado IBAL S.A. E.S.P - OFICIAL </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DE5910C"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20173210058862</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4AFA5944"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1</w:t>
            </w:r>
          </w:p>
        </w:tc>
      </w:tr>
      <w:tr w:rsidR="00DF437C" w:rsidRPr="00DF437C" w14:paraId="759081F0"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7A21080F"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9</w:t>
            </w:r>
          </w:p>
        </w:tc>
        <w:tc>
          <w:tcPr>
            <w:tcW w:w="561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03F1405"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Empresas Municipales de Cali EMCALI</w:t>
            </w: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EEFF0D6"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20173210047422</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05F72699"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w:t>
            </w:r>
          </w:p>
        </w:tc>
      </w:tr>
      <w:tr w:rsidR="00DF437C" w:rsidRPr="00DF437C" w14:paraId="5C1C0689"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43D5C388"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10</w:t>
            </w:r>
          </w:p>
        </w:tc>
        <w:tc>
          <w:tcPr>
            <w:tcW w:w="561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ABB0F3F"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Empresas Públicas de Armenia</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544D1BB"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20173210044192</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6C2ED7DC"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4</w:t>
            </w:r>
          </w:p>
        </w:tc>
      </w:tr>
      <w:tr w:rsidR="00DF437C" w:rsidRPr="00DF437C" w14:paraId="64AA18B7"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3A339A19"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11</w:t>
            </w:r>
          </w:p>
        </w:tc>
        <w:tc>
          <w:tcPr>
            <w:tcW w:w="561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8AB933C"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Empresas Públicas de Medellín</w:t>
            </w: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93C630E"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20173210044912</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3CB0C609"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8</w:t>
            </w:r>
          </w:p>
        </w:tc>
      </w:tr>
      <w:tr w:rsidR="00DF437C" w:rsidRPr="00DF437C" w14:paraId="5DC1302A"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6C830F53"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12</w:t>
            </w:r>
          </w:p>
        </w:tc>
        <w:tc>
          <w:tcPr>
            <w:tcW w:w="561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AEFE41A"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Sociedad de Acueducto, Alcantarillado y Aseo de Barranquilla S.A.  E.S.P.</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00EAA83"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20173210059242</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2DB0412D"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9</w:t>
            </w:r>
          </w:p>
        </w:tc>
      </w:tr>
      <w:tr w:rsidR="00DF437C" w:rsidRPr="00DF437C" w14:paraId="7025EFB5" w14:textId="77777777" w:rsidTr="001F2BC1">
        <w:trPr>
          <w:trHeight w:val="291"/>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5761ACC6"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13</w:t>
            </w:r>
          </w:p>
        </w:tc>
        <w:tc>
          <w:tcPr>
            <w:tcW w:w="561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92E08E3" w14:textId="77777777" w:rsidR="00DF437C" w:rsidRPr="00DF437C" w:rsidRDefault="00DF437C" w:rsidP="00DF437C">
            <w:pPr>
              <w:suppressAutoHyphens w:val="0"/>
              <w:spacing w:after="0" w:line="240" w:lineRule="auto"/>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Unión Sindical E</w:t>
            </w:r>
            <w:r>
              <w:rPr>
                <w:rFonts w:ascii="Arial" w:eastAsia="Times New Roman" w:hAnsi="Arial" w:cs="Arial"/>
                <w:color w:val="000000"/>
                <w:sz w:val="18"/>
                <w:szCs w:val="18"/>
                <w:lang w:val="es-CO" w:eastAsia="es-CO"/>
              </w:rPr>
              <w:t>MCALI</w:t>
            </w: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617C7F4"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20173210051232</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695EAD29" w14:textId="77777777" w:rsidR="00DF437C" w:rsidRPr="00DF437C" w:rsidRDefault="00DF437C" w:rsidP="00DF437C">
            <w:pPr>
              <w:suppressAutoHyphens w:val="0"/>
              <w:spacing w:after="0" w:line="240" w:lineRule="auto"/>
              <w:jc w:val="center"/>
              <w:rPr>
                <w:rFonts w:ascii="Arial" w:eastAsia="Times New Roman" w:hAnsi="Arial" w:cs="Arial"/>
                <w:color w:val="000000"/>
                <w:sz w:val="18"/>
                <w:szCs w:val="18"/>
                <w:lang w:val="es-CO" w:eastAsia="es-CO"/>
              </w:rPr>
            </w:pPr>
            <w:r w:rsidRPr="00DF437C">
              <w:rPr>
                <w:rFonts w:ascii="Arial" w:eastAsia="Times New Roman" w:hAnsi="Arial" w:cs="Arial"/>
                <w:color w:val="000000"/>
                <w:sz w:val="18"/>
                <w:szCs w:val="18"/>
                <w:lang w:val="es-CO" w:eastAsia="es-CO"/>
              </w:rPr>
              <w:t>4</w:t>
            </w:r>
          </w:p>
        </w:tc>
      </w:tr>
      <w:tr w:rsidR="00DF437C" w:rsidRPr="00DF437C" w14:paraId="4D4D6A69" w14:textId="77777777" w:rsidTr="001F2BC1">
        <w:trPr>
          <w:trHeight w:val="291"/>
        </w:trPr>
        <w:tc>
          <w:tcPr>
            <w:tcW w:w="0" w:type="auto"/>
            <w:tcBorders>
              <w:top w:val="single" w:sz="12" w:space="0" w:color="FFFFFF"/>
              <w:left w:val="nil"/>
              <w:bottom w:val="nil"/>
              <w:right w:val="single" w:sz="4" w:space="0" w:color="FFFFFF"/>
            </w:tcBorders>
            <w:shd w:val="clear" w:color="4F81BD" w:fill="4F81BD"/>
            <w:noWrap/>
            <w:vAlign w:val="bottom"/>
            <w:hideMark/>
          </w:tcPr>
          <w:p w14:paraId="7A69EF95"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18"/>
                <w:lang w:val="es-CO" w:eastAsia="es-CO"/>
              </w:rPr>
            </w:pPr>
            <w:r w:rsidRPr="00DF437C">
              <w:rPr>
                <w:rFonts w:ascii="Arial" w:eastAsia="Times New Roman" w:hAnsi="Arial" w:cs="Arial"/>
                <w:b/>
                <w:bCs/>
                <w:color w:val="FFFFFF"/>
                <w:sz w:val="18"/>
                <w:szCs w:val="18"/>
                <w:lang w:val="es-CO" w:eastAsia="es-CO"/>
              </w:rPr>
              <w:t>Total</w:t>
            </w:r>
          </w:p>
        </w:tc>
        <w:tc>
          <w:tcPr>
            <w:tcW w:w="5616" w:type="dxa"/>
            <w:tcBorders>
              <w:top w:val="single" w:sz="12" w:space="0" w:color="FFFFFF"/>
              <w:left w:val="single" w:sz="4" w:space="0" w:color="FFFFFF"/>
              <w:bottom w:val="nil"/>
              <w:right w:val="single" w:sz="4" w:space="0" w:color="FFFFFF"/>
            </w:tcBorders>
            <w:shd w:val="clear" w:color="4F81BD" w:fill="4F81BD"/>
            <w:noWrap/>
            <w:vAlign w:val="bottom"/>
            <w:hideMark/>
          </w:tcPr>
          <w:p w14:paraId="4D1918A5"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18"/>
                <w:lang w:val="es-CO" w:eastAsia="es-CO"/>
              </w:rPr>
            </w:pPr>
          </w:p>
        </w:tc>
        <w:tc>
          <w:tcPr>
            <w:tcW w:w="2035" w:type="dxa"/>
            <w:tcBorders>
              <w:top w:val="single" w:sz="12" w:space="0" w:color="FFFFFF"/>
              <w:left w:val="single" w:sz="4" w:space="0" w:color="FFFFFF"/>
              <w:bottom w:val="nil"/>
              <w:right w:val="single" w:sz="4" w:space="0" w:color="FFFFFF"/>
            </w:tcBorders>
            <w:shd w:val="clear" w:color="4F81BD" w:fill="4F81BD"/>
            <w:noWrap/>
            <w:vAlign w:val="bottom"/>
            <w:hideMark/>
          </w:tcPr>
          <w:p w14:paraId="56D352F9" w14:textId="77777777" w:rsidR="00DF437C" w:rsidRPr="00DF437C" w:rsidRDefault="00DF437C" w:rsidP="00DF437C">
            <w:pPr>
              <w:suppressAutoHyphens w:val="0"/>
              <w:spacing w:after="0" w:line="240" w:lineRule="auto"/>
              <w:rPr>
                <w:rFonts w:ascii="Arial" w:eastAsia="Times New Roman" w:hAnsi="Arial" w:cs="Arial"/>
                <w:sz w:val="18"/>
                <w:szCs w:val="18"/>
                <w:lang w:val="es-CO" w:eastAsia="es-CO"/>
              </w:rPr>
            </w:pPr>
          </w:p>
        </w:tc>
        <w:tc>
          <w:tcPr>
            <w:tcW w:w="0" w:type="auto"/>
            <w:tcBorders>
              <w:top w:val="single" w:sz="12" w:space="0" w:color="FFFFFF"/>
              <w:left w:val="single" w:sz="4" w:space="0" w:color="FFFFFF"/>
              <w:bottom w:val="nil"/>
              <w:right w:val="nil"/>
            </w:tcBorders>
            <w:shd w:val="clear" w:color="4F81BD" w:fill="4F81BD"/>
            <w:noWrap/>
            <w:vAlign w:val="bottom"/>
            <w:hideMark/>
          </w:tcPr>
          <w:p w14:paraId="0422FCEB"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18"/>
                <w:lang w:val="es-CO" w:eastAsia="es-CO"/>
              </w:rPr>
            </w:pPr>
            <w:r w:rsidRPr="00DF437C">
              <w:rPr>
                <w:rFonts w:ascii="Arial" w:eastAsia="Times New Roman" w:hAnsi="Arial" w:cs="Arial"/>
                <w:b/>
                <w:bCs/>
                <w:color w:val="FFFFFF"/>
                <w:sz w:val="18"/>
                <w:szCs w:val="18"/>
                <w:lang w:val="es-CO" w:eastAsia="es-CO"/>
              </w:rPr>
              <w:t>103</w:t>
            </w:r>
          </w:p>
        </w:tc>
      </w:tr>
    </w:tbl>
    <w:p w14:paraId="2DF809F9" w14:textId="77777777" w:rsidR="008632D4" w:rsidRDefault="008632D4" w:rsidP="007D7C05">
      <w:pPr>
        <w:spacing w:after="0" w:line="240" w:lineRule="auto"/>
        <w:jc w:val="both"/>
        <w:rPr>
          <w:rFonts w:ascii="Arial" w:hAnsi="Arial" w:cs="Arial"/>
          <w:sz w:val="20"/>
          <w:szCs w:val="20"/>
          <w:lang w:val="es-ES_tradnl" w:eastAsia="es-ES"/>
        </w:rPr>
      </w:pPr>
    </w:p>
    <w:p w14:paraId="1FA36868" w14:textId="77777777" w:rsidR="007D7C05" w:rsidRPr="00097873" w:rsidRDefault="007D7C05" w:rsidP="007D7C05">
      <w:pPr>
        <w:spacing w:after="0" w:line="240" w:lineRule="auto"/>
        <w:jc w:val="both"/>
        <w:rPr>
          <w:rFonts w:ascii="Arial" w:hAnsi="Arial" w:cs="Arial"/>
          <w:sz w:val="20"/>
          <w:szCs w:val="20"/>
          <w:lang w:val="es-ES_tradnl" w:eastAsia="es-ES"/>
        </w:rPr>
      </w:pPr>
      <w:r w:rsidRPr="00097873">
        <w:rPr>
          <w:rFonts w:ascii="Arial" w:hAnsi="Arial" w:cs="Arial"/>
          <w:sz w:val="20"/>
          <w:szCs w:val="20"/>
          <w:lang w:val="es-ES_tradnl" w:eastAsia="es-ES"/>
        </w:rPr>
        <w:t>Dentro del total de observaciones se tiene que: el 8</w:t>
      </w:r>
      <w:r>
        <w:rPr>
          <w:rFonts w:ascii="Arial" w:hAnsi="Arial" w:cs="Arial"/>
          <w:sz w:val="20"/>
          <w:szCs w:val="20"/>
          <w:lang w:val="es-ES_tradnl" w:eastAsia="es-ES"/>
        </w:rPr>
        <w:t>5</w:t>
      </w:r>
      <w:r w:rsidRPr="00097873">
        <w:rPr>
          <w:rFonts w:ascii="Arial" w:hAnsi="Arial" w:cs="Arial"/>
          <w:sz w:val="20"/>
          <w:szCs w:val="20"/>
          <w:lang w:val="es-ES_tradnl" w:eastAsia="es-ES"/>
        </w:rPr>
        <w:t>% de las observaciones fueron enviadas por personas prestadoras y el 1</w:t>
      </w:r>
      <w:r>
        <w:rPr>
          <w:rFonts w:ascii="Arial" w:hAnsi="Arial" w:cs="Arial"/>
          <w:sz w:val="20"/>
          <w:szCs w:val="20"/>
          <w:lang w:val="es-ES_tradnl" w:eastAsia="es-ES"/>
        </w:rPr>
        <w:t>5</w:t>
      </w:r>
      <w:r w:rsidRPr="00097873">
        <w:rPr>
          <w:rFonts w:ascii="Arial" w:hAnsi="Arial" w:cs="Arial"/>
          <w:sz w:val="20"/>
          <w:szCs w:val="20"/>
          <w:lang w:val="es-ES_tradnl" w:eastAsia="es-ES"/>
        </w:rPr>
        <w:t>% por otros tipos de participantes (ANDESCO</w:t>
      </w:r>
      <w:r>
        <w:rPr>
          <w:rFonts w:ascii="Arial" w:hAnsi="Arial" w:cs="Arial"/>
          <w:sz w:val="20"/>
          <w:szCs w:val="20"/>
          <w:lang w:val="es-ES_tradnl" w:eastAsia="es-ES"/>
        </w:rPr>
        <w:t xml:space="preserve"> y Unión Sindical EMCALI</w:t>
      </w:r>
      <w:r w:rsidRPr="00097873">
        <w:rPr>
          <w:rFonts w:ascii="Arial" w:hAnsi="Arial" w:cs="Arial"/>
          <w:sz w:val="20"/>
          <w:szCs w:val="20"/>
          <w:lang w:val="es-ES_tradnl" w:eastAsia="es-ES"/>
        </w:rPr>
        <w:t xml:space="preserve">). </w:t>
      </w:r>
    </w:p>
    <w:p w14:paraId="3A0E9DB7" w14:textId="77777777" w:rsidR="006D1276" w:rsidRDefault="002D4369" w:rsidP="00D311C6">
      <w:pPr>
        <w:pStyle w:val="Ttulo1"/>
        <w:jc w:val="both"/>
        <w:rPr>
          <w:lang w:val="es-MX"/>
        </w:rPr>
      </w:pPr>
      <w:bookmarkStart w:id="3" w:name="_Toc506988576"/>
      <w:r w:rsidRPr="009F4942">
        <w:rPr>
          <w:lang w:val="es-MX"/>
        </w:rPr>
        <w:lastRenderedPageBreak/>
        <w:t>EJES TEMÁTICOS</w:t>
      </w:r>
      <w:bookmarkEnd w:id="3"/>
      <w:r w:rsidRPr="009F4942">
        <w:rPr>
          <w:lang w:val="es-MX"/>
        </w:rPr>
        <w:t xml:space="preserve"> </w:t>
      </w:r>
    </w:p>
    <w:p w14:paraId="5DC54DD2" w14:textId="77777777" w:rsidR="00D311C6" w:rsidRDefault="00D311C6" w:rsidP="00D311C6">
      <w:pPr>
        <w:spacing w:after="0" w:line="240" w:lineRule="auto"/>
        <w:jc w:val="both"/>
        <w:rPr>
          <w:rFonts w:ascii="Arial" w:hAnsi="Arial" w:cs="Arial"/>
          <w:sz w:val="20"/>
          <w:szCs w:val="20"/>
          <w:lang w:val="es-ES_tradnl" w:eastAsia="es-ES"/>
        </w:rPr>
      </w:pPr>
    </w:p>
    <w:p w14:paraId="7547510B" w14:textId="77777777" w:rsidR="00D311C6" w:rsidRPr="00097873" w:rsidRDefault="00D311C6" w:rsidP="00D311C6">
      <w:pPr>
        <w:spacing w:after="0" w:line="240" w:lineRule="auto"/>
        <w:jc w:val="both"/>
        <w:rPr>
          <w:rFonts w:ascii="Arial" w:hAnsi="Arial" w:cs="Arial"/>
          <w:sz w:val="20"/>
          <w:szCs w:val="20"/>
          <w:lang w:val="es-ES_tradnl" w:eastAsia="es-ES"/>
        </w:rPr>
      </w:pPr>
      <w:r w:rsidRPr="00097873">
        <w:rPr>
          <w:rFonts w:ascii="Arial" w:hAnsi="Arial" w:cs="Arial"/>
          <w:sz w:val="20"/>
          <w:szCs w:val="20"/>
          <w:lang w:val="es-ES_tradnl" w:eastAsia="es-ES"/>
        </w:rPr>
        <w:t>Con el fin de analizar de forma adecuada y organizada las observaciones, reparos y sugerencias recibidas dentro del proceso de participación ciudadana de la Resolución CRA 7</w:t>
      </w:r>
      <w:r>
        <w:rPr>
          <w:rFonts w:ascii="Arial" w:hAnsi="Arial" w:cs="Arial"/>
          <w:sz w:val="20"/>
          <w:szCs w:val="20"/>
          <w:lang w:val="es-ES_tradnl" w:eastAsia="es-ES"/>
        </w:rPr>
        <w:t>91</w:t>
      </w:r>
      <w:r w:rsidRPr="00097873">
        <w:rPr>
          <w:rFonts w:ascii="Arial" w:hAnsi="Arial" w:cs="Arial"/>
          <w:sz w:val="20"/>
          <w:szCs w:val="20"/>
          <w:lang w:val="es-ES_tradnl" w:eastAsia="es-ES"/>
        </w:rPr>
        <w:t xml:space="preserve"> de 201</w:t>
      </w:r>
      <w:r>
        <w:rPr>
          <w:rFonts w:ascii="Arial" w:hAnsi="Arial" w:cs="Arial"/>
          <w:sz w:val="20"/>
          <w:szCs w:val="20"/>
          <w:lang w:val="es-ES_tradnl" w:eastAsia="es-ES"/>
        </w:rPr>
        <w:t>7</w:t>
      </w:r>
      <w:r w:rsidRPr="00097873">
        <w:rPr>
          <w:rFonts w:ascii="Arial" w:hAnsi="Arial" w:cs="Arial"/>
          <w:sz w:val="20"/>
          <w:szCs w:val="20"/>
          <w:lang w:val="es-ES_tradnl" w:eastAsia="es-ES"/>
        </w:rPr>
        <w:t xml:space="preserve">, se realizó una clasificación de acuerdo con </w:t>
      </w:r>
      <w:r w:rsidR="00C704F1">
        <w:rPr>
          <w:rFonts w:ascii="Arial" w:hAnsi="Arial" w:cs="Arial"/>
          <w:sz w:val="20"/>
          <w:szCs w:val="20"/>
          <w:lang w:val="es-ES_tradnl" w:eastAsia="es-ES"/>
        </w:rPr>
        <w:t>e</w:t>
      </w:r>
      <w:r w:rsidRPr="00097873">
        <w:rPr>
          <w:rFonts w:ascii="Arial" w:hAnsi="Arial" w:cs="Arial"/>
          <w:sz w:val="20"/>
          <w:szCs w:val="20"/>
          <w:lang w:val="es-ES_tradnl" w:eastAsia="es-ES"/>
        </w:rPr>
        <w:t>l eje temático al cual hacen referencia. De esta forma, a continuación, se presentan los componentes y ejes sobre los cuales han sido agrupadas las observaciones formuladas.</w:t>
      </w:r>
    </w:p>
    <w:p w14:paraId="4BFD1871" w14:textId="77777777" w:rsidR="00D311C6" w:rsidRPr="00097873" w:rsidRDefault="00D311C6" w:rsidP="00D311C6">
      <w:pPr>
        <w:spacing w:after="0" w:line="240" w:lineRule="auto"/>
        <w:jc w:val="both"/>
        <w:rPr>
          <w:rFonts w:ascii="Arial" w:hAnsi="Arial" w:cs="Arial"/>
          <w:sz w:val="20"/>
          <w:szCs w:val="20"/>
          <w:lang w:val="es-ES_tradnl" w:eastAsia="es-ES"/>
        </w:rPr>
      </w:pPr>
    </w:p>
    <w:p w14:paraId="479F9439" w14:textId="77777777" w:rsidR="00D311C6" w:rsidRPr="00097873" w:rsidRDefault="00D311C6" w:rsidP="00D311C6">
      <w:pPr>
        <w:spacing w:after="0" w:line="240" w:lineRule="auto"/>
        <w:jc w:val="both"/>
        <w:rPr>
          <w:rFonts w:ascii="Arial" w:hAnsi="Arial" w:cs="Arial"/>
          <w:sz w:val="20"/>
          <w:szCs w:val="20"/>
          <w:lang w:val="es-ES_tradnl" w:eastAsia="es-ES"/>
        </w:rPr>
      </w:pPr>
      <w:r w:rsidRPr="00097873">
        <w:rPr>
          <w:rFonts w:ascii="Arial" w:hAnsi="Arial" w:cs="Arial"/>
          <w:sz w:val="20"/>
          <w:szCs w:val="20"/>
          <w:lang w:val="es-ES_tradnl" w:eastAsia="es-ES"/>
        </w:rPr>
        <w:t xml:space="preserve">En relación con los </w:t>
      </w:r>
      <w:r w:rsidR="00512916">
        <w:rPr>
          <w:rFonts w:ascii="Arial" w:hAnsi="Arial" w:cs="Arial"/>
          <w:sz w:val="20"/>
          <w:szCs w:val="20"/>
          <w:lang w:val="es-ES_tradnl" w:eastAsia="es-ES"/>
        </w:rPr>
        <w:t>ejes temáticos</w:t>
      </w:r>
      <w:r w:rsidRPr="00097873">
        <w:rPr>
          <w:rFonts w:ascii="Arial" w:hAnsi="Arial" w:cs="Arial"/>
          <w:sz w:val="20"/>
          <w:szCs w:val="20"/>
          <w:lang w:val="es-ES_tradnl" w:eastAsia="es-ES"/>
        </w:rPr>
        <w:t xml:space="preserve">, el </w:t>
      </w:r>
      <w:r w:rsidR="00512916">
        <w:rPr>
          <w:rFonts w:ascii="Arial" w:hAnsi="Arial" w:cs="Arial"/>
          <w:sz w:val="20"/>
          <w:szCs w:val="20"/>
          <w:lang w:val="es-ES_tradnl" w:eastAsia="es-ES"/>
        </w:rPr>
        <w:t>20,</w:t>
      </w:r>
      <w:r w:rsidR="00DF437C">
        <w:rPr>
          <w:rFonts w:ascii="Arial" w:hAnsi="Arial" w:cs="Arial"/>
          <w:sz w:val="20"/>
          <w:szCs w:val="20"/>
          <w:lang w:val="es-ES_tradnl" w:eastAsia="es-ES"/>
        </w:rPr>
        <w:t>3</w:t>
      </w:r>
      <w:r w:rsidR="00512916">
        <w:rPr>
          <w:rFonts w:ascii="Arial" w:hAnsi="Arial" w:cs="Arial"/>
          <w:sz w:val="20"/>
          <w:szCs w:val="20"/>
          <w:lang w:val="es-ES_tradnl" w:eastAsia="es-ES"/>
        </w:rPr>
        <w:t>9</w:t>
      </w:r>
      <w:r w:rsidRPr="00097873">
        <w:rPr>
          <w:rFonts w:ascii="Arial" w:hAnsi="Arial" w:cs="Arial"/>
          <w:sz w:val="20"/>
          <w:szCs w:val="20"/>
          <w:lang w:val="es-ES_tradnl" w:eastAsia="es-ES"/>
        </w:rPr>
        <w:t>% de las observaciones (</w:t>
      </w:r>
      <w:r w:rsidR="00512916">
        <w:rPr>
          <w:rFonts w:ascii="Arial" w:hAnsi="Arial" w:cs="Arial"/>
          <w:sz w:val="20"/>
          <w:szCs w:val="20"/>
          <w:lang w:val="es-ES_tradnl" w:eastAsia="es-ES"/>
        </w:rPr>
        <w:t>21</w:t>
      </w:r>
      <w:r w:rsidRPr="00097873">
        <w:rPr>
          <w:rFonts w:ascii="Arial" w:hAnsi="Arial" w:cs="Arial"/>
          <w:sz w:val="20"/>
          <w:szCs w:val="20"/>
          <w:lang w:val="es-ES_tradnl" w:eastAsia="es-ES"/>
        </w:rPr>
        <w:t>), corresponden a inquietudes relacionadas con</w:t>
      </w:r>
      <w:r w:rsidR="00512916">
        <w:rPr>
          <w:rFonts w:ascii="Arial" w:hAnsi="Arial" w:cs="Arial"/>
          <w:sz w:val="20"/>
          <w:szCs w:val="20"/>
          <w:lang w:val="es-ES_tradnl" w:eastAsia="es-ES"/>
        </w:rPr>
        <w:t xml:space="preserve"> la i</w:t>
      </w:r>
      <w:r w:rsidR="00512916" w:rsidRPr="00512916">
        <w:rPr>
          <w:rFonts w:ascii="Arial" w:hAnsi="Arial" w:cs="Arial"/>
          <w:sz w:val="20"/>
          <w:szCs w:val="20"/>
          <w:lang w:val="es-ES_tradnl" w:eastAsia="es-ES"/>
        </w:rPr>
        <w:t>nclusión y exclusión de empresas de la muestra</w:t>
      </w:r>
      <w:r w:rsidRPr="00097873">
        <w:rPr>
          <w:rFonts w:ascii="Arial" w:hAnsi="Arial" w:cs="Arial"/>
          <w:sz w:val="20"/>
          <w:szCs w:val="20"/>
          <w:lang w:val="es-ES_tradnl" w:eastAsia="es-ES"/>
        </w:rPr>
        <w:t xml:space="preserve">. En segundo y tercer lugar, están las observaciones referentes </w:t>
      </w:r>
      <w:r w:rsidR="00512916" w:rsidRPr="00512916">
        <w:rPr>
          <w:rFonts w:ascii="Arial" w:hAnsi="Arial" w:cs="Arial"/>
          <w:sz w:val="20"/>
          <w:szCs w:val="20"/>
          <w:lang w:val="es-ES_tradnl" w:eastAsia="es-ES"/>
        </w:rPr>
        <w:t xml:space="preserve">Datos atípicos </w:t>
      </w:r>
      <w:r w:rsidRPr="00097873">
        <w:rPr>
          <w:rFonts w:ascii="Arial" w:hAnsi="Arial" w:cs="Arial"/>
          <w:sz w:val="20"/>
          <w:szCs w:val="20"/>
          <w:lang w:val="es-ES_tradnl" w:eastAsia="es-ES"/>
        </w:rPr>
        <w:t xml:space="preserve">y </w:t>
      </w:r>
      <w:r w:rsidR="00512916" w:rsidRPr="00512916">
        <w:rPr>
          <w:rFonts w:ascii="Arial" w:hAnsi="Arial" w:cs="Arial"/>
          <w:sz w:val="20"/>
          <w:szCs w:val="20"/>
          <w:lang w:val="es-ES_tradnl" w:eastAsia="es-ES"/>
        </w:rPr>
        <w:t>Orientación del problema</w:t>
      </w:r>
      <w:r w:rsidR="00512916">
        <w:rPr>
          <w:rFonts w:ascii="Arial" w:hAnsi="Arial" w:cs="Arial"/>
          <w:sz w:val="20"/>
          <w:szCs w:val="20"/>
          <w:lang w:val="es-ES_tradnl" w:eastAsia="es-ES"/>
        </w:rPr>
        <w:t xml:space="preserve"> </w:t>
      </w:r>
      <w:r w:rsidRPr="00097873">
        <w:rPr>
          <w:rFonts w:ascii="Arial" w:hAnsi="Arial" w:cs="Arial"/>
          <w:sz w:val="20"/>
          <w:szCs w:val="20"/>
          <w:lang w:val="es-ES_tradnl" w:eastAsia="es-ES"/>
        </w:rPr>
        <w:t xml:space="preserve">con </w:t>
      </w:r>
      <w:r w:rsidR="00512916">
        <w:rPr>
          <w:rFonts w:ascii="Arial" w:hAnsi="Arial" w:cs="Arial"/>
          <w:sz w:val="20"/>
          <w:szCs w:val="20"/>
          <w:lang w:val="es-ES_tradnl" w:eastAsia="es-ES"/>
        </w:rPr>
        <w:t xml:space="preserve">12 observaciones, </w:t>
      </w:r>
      <w:r w:rsidRPr="00097873">
        <w:rPr>
          <w:rFonts w:ascii="Arial" w:hAnsi="Arial" w:cs="Arial"/>
          <w:sz w:val="20"/>
          <w:szCs w:val="20"/>
          <w:lang w:val="es-ES_tradnl" w:eastAsia="es-ES"/>
        </w:rPr>
        <w:t>representando el 1</w:t>
      </w:r>
      <w:r w:rsidR="00512916">
        <w:rPr>
          <w:rFonts w:ascii="Arial" w:hAnsi="Arial" w:cs="Arial"/>
          <w:sz w:val="20"/>
          <w:szCs w:val="20"/>
          <w:lang w:val="es-ES_tradnl" w:eastAsia="es-ES"/>
        </w:rPr>
        <w:t>1,54</w:t>
      </w:r>
      <w:r w:rsidRPr="00097873">
        <w:rPr>
          <w:rFonts w:ascii="Arial" w:hAnsi="Arial" w:cs="Arial"/>
          <w:sz w:val="20"/>
          <w:szCs w:val="20"/>
          <w:lang w:val="es-ES_tradnl" w:eastAsia="es-ES"/>
        </w:rPr>
        <w:t xml:space="preserve">% por cada </w:t>
      </w:r>
      <w:r w:rsidR="00512916">
        <w:rPr>
          <w:rFonts w:ascii="Arial" w:hAnsi="Arial" w:cs="Arial"/>
          <w:sz w:val="20"/>
          <w:szCs w:val="20"/>
          <w:lang w:val="es-ES_tradnl" w:eastAsia="es-ES"/>
        </w:rPr>
        <w:t>eje temático</w:t>
      </w:r>
      <w:r w:rsidRPr="00097873">
        <w:rPr>
          <w:rFonts w:ascii="Arial" w:hAnsi="Arial" w:cs="Arial"/>
          <w:sz w:val="20"/>
          <w:szCs w:val="20"/>
          <w:lang w:val="es-ES_tradnl" w:eastAsia="es-ES"/>
        </w:rPr>
        <w:t xml:space="preserve">, igualmente. </w:t>
      </w:r>
    </w:p>
    <w:p w14:paraId="50061B22" w14:textId="77777777" w:rsidR="00D311C6" w:rsidRPr="00097873" w:rsidRDefault="00D311C6" w:rsidP="00D311C6">
      <w:pPr>
        <w:spacing w:after="0" w:line="240" w:lineRule="auto"/>
        <w:jc w:val="both"/>
        <w:rPr>
          <w:rFonts w:ascii="Arial" w:hAnsi="Arial" w:cs="Arial"/>
          <w:sz w:val="20"/>
          <w:szCs w:val="20"/>
          <w:lang w:val="es-ES_tradnl" w:eastAsia="es-ES"/>
        </w:rPr>
      </w:pPr>
    </w:p>
    <w:p w14:paraId="154BCBAF" w14:textId="77777777" w:rsidR="00744C19" w:rsidRDefault="00D311C6" w:rsidP="00D311C6">
      <w:pPr>
        <w:spacing w:after="0" w:line="240" w:lineRule="auto"/>
        <w:ind w:left="284" w:hanging="284"/>
        <w:jc w:val="both"/>
        <w:rPr>
          <w:rFonts w:ascii="Arial" w:hAnsi="Arial" w:cs="Arial"/>
          <w:sz w:val="20"/>
          <w:szCs w:val="20"/>
          <w:lang w:val="es-ES_tradnl" w:eastAsia="es-ES"/>
        </w:rPr>
      </w:pPr>
      <w:r w:rsidRPr="00097873">
        <w:rPr>
          <w:rFonts w:ascii="Arial" w:hAnsi="Arial" w:cs="Arial"/>
          <w:sz w:val="20"/>
          <w:szCs w:val="20"/>
          <w:lang w:val="es-ES_tradnl" w:eastAsia="es-ES"/>
        </w:rPr>
        <w:t>A continuación</w:t>
      </w:r>
      <w:r>
        <w:rPr>
          <w:rFonts w:ascii="Arial" w:hAnsi="Arial" w:cs="Arial"/>
          <w:sz w:val="20"/>
          <w:szCs w:val="20"/>
          <w:lang w:val="es-ES_tradnl" w:eastAsia="es-ES"/>
        </w:rPr>
        <w:t>,</w:t>
      </w:r>
      <w:r w:rsidRPr="00097873">
        <w:rPr>
          <w:rFonts w:ascii="Arial" w:hAnsi="Arial" w:cs="Arial"/>
          <w:sz w:val="20"/>
          <w:szCs w:val="20"/>
          <w:lang w:val="es-ES_tradnl" w:eastAsia="es-ES"/>
        </w:rPr>
        <w:t xml:space="preserve"> se presenta de forma gráfica las observaciones recibidas, clasificadas por </w:t>
      </w:r>
      <w:r w:rsidR="00512916">
        <w:rPr>
          <w:rFonts w:ascii="Arial" w:hAnsi="Arial" w:cs="Arial"/>
          <w:sz w:val="20"/>
          <w:szCs w:val="20"/>
          <w:lang w:val="es-ES_tradnl" w:eastAsia="es-ES"/>
        </w:rPr>
        <w:t>eje temático:</w:t>
      </w:r>
    </w:p>
    <w:p w14:paraId="17D1B45F" w14:textId="77777777" w:rsidR="00FC5C01" w:rsidRDefault="00FC5C01" w:rsidP="00D311C6">
      <w:pPr>
        <w:spacing w:after="0" w:line="240" w:lineRule="auto"/>
        <w:ind w:left="284" w:hanging="284"/>
        <w:jc w:val="both"/>
        <w:rPr>
          <w:rFonts w:ascii="Arial" w:hAnsi="Arial" w:cs="Arial"/>
          <w:sz w:val="20"/>
          <w:szCs w:val="20"/>
          <w:lang w:val="es-ES_tradnl" w:eastAsia="es-ES"/>
        </w:rPr>
      </w:pPr>
    </w:p>
    <w:p w14:paraId="6301520A" w14:textId="5A533C4D" w:rsidR="00D311C6" w:rsidRDefault="00FC5C01" w:rsidP="00FC5C01">
      <w:pPr>
        <w:pStyle w:val="a"/>
        <w:spacing w:after="0" w:line="240" w:lineRule="auto"/>
        <w:jc w:val="center"/>
        <w:rPr>
          <w:rFonts w:ascii="Arial" w:hAnsi="Arial" w:cs="Arial"/>
          <w:lang w:val="es-MX"/>
        </w:rPr>
      </w:pPr>
      <w:bookmarkStart w:id="4" w:name="_Toc506988565"/>
      <w:r w:rsidRPr="007D7C05">
        <w:rPr>
          <w:rFonts w:ascii="Arial" w:hAnsi="Arial" w:cs="Arial"/>
        </w:rPr>
        <w:t xml:space="preserve">Tabla </w:t>
      </w:r>
      <w:r w:rsidRPr="007D7C05">
        <w:rPr>
          <w:rFonts w:ascii="Arial" w:hAnsi="Arial" w:cs="Arial"/>
        </w:rPr>
        <w:fldChar w:fldCharType="begin"/>
      </w:r>
      <w:r w:rsidRPr="007D7C05">
        <w:rPr>
          <w:rFonts w:ascii="Arial" w:hAnsi="Arial" w:cs="Arial"/>
        </w:rPr>
        <w:instrText xml:space="preserve"> SEQ Tabla \* ARABIC </w:instrText>
      </w:r>
      <w:r w:rsidRPr="007D7C05">
        <w:rPr>
          <w:rFonts w:ascii="Arial" w:hAnsi="Arial" w:cs="Arial"/>
        </w:rPr>
        <w:fldChar w:fldCharType="separate"/>
      </w:r>
      <w:r w:rsidR="004C0CEB">
        <w:rPr>
          <w:rFonts w:ascii="Arial" w:hAnsi="Arial" w:cs="Arial"/>
          <w:noProof/>
        </w:rPr>
        <w:t>2</w:t>
      </w:r>
      <w:r w:rsidRPr="007D7C05">
        <w:rPr>
          <w:rFonts w:ascii="Arial" w:hAnsi="Arial" w:cs="Arial"/>
        </w:rPr>
        <w:fldChar w:fldCharType="end"/>
      </w:r>
      <w:r w:rsidRPr="007D7C05">
        <w:rPr>
          <w:rFonts w:ascii="Arial" w:hAnsi="Arial" w:cs="Arial"/>
        </w:rPr>
        <w:t xml:space="preserve">. </w:t>
      </w:r>
      <w:r>
        <w:rPr>
          <w:rFonts w:ascii="Arial" w:hAnsi="Arial" w:cs="Arial"/>
          <w:bCs w:val="0"/>
          <w:lang w:val="es-ES_tradnl" w:eastAsia="es-ES"/>
        </w:rPr>
        <w:t>Ejes temáticos</w:t>
      </w:r>
      <w:bookmarkEnd w:id="4"/>
    </w:p>
    <w:tbl>
      <w:tblPr>
        <w:tblW w:w="0" w:type="auto"/>
        <w:jc w:val="center"/>
        <w:tblCellMar>
          <w:left w:w="70" w:type="dxa"/>
          <w:right w:w="70" w:type="dxa"/>
        </w:tblCellMar>
        <w:tblLook w:val="04A0" w:firstRow="1" w:lastRow="0" w:firstColumn="1" w:lastColumn="0" w:noHBand="0" w:noVBand="1"/>
      </w:tblPr>
      <w:tblGrid>
        <w:gridCol w:w="570"/>
        <w:gridCol w:w="6014"/>
        <w:gridCol w:w="1771"/>
        <w:gridCol w:w="851"/>
      </w:tblGrid>
      <w:tr w:rsidR="00DF437C" w:rsidRPr="00DF437C" w14:paraId="77DD7666" w14:textId="77777777" w:rsidTr="00DF437C">
        <w:trPr>
          <w:trHeight w:val="300"/>
          <w:jc w:val="center"/>
        </w:trPr>
        <w:tc>
          <w:tcPr>
            <w:tcW w:w="0" w:type="auto"/>
            <w:tcBorders>
              <w:top w:val="nil"/>
              <w:left w:val="nil"/>
              <w:bottom w:val="single" w:sz="12" w:space="0" w:color="FFFFFF"/>
              <w:right w:val="single" w:sz="4" w:space="0" w:color="FFFFFF"/>
            </w:tcBorders>
            <w:shd w:val="clear" w:color="4F81BD" w:fill="4F81BD"/>
            <w:noWrap/>
            <w:vAlign w:val="center"/>
            <w:hideMark/>
          </w:tcPr>
          <w:p w14:paraId="44B525F2"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20"/>
                <w:lang w:val="es-CO" w:eastAsia="es-CO"/>
              </w:rPr>
            </w:pPr>
            <w:r w:rsidRPr="00DF437C">
              <w:rPr>
                <w:rFonts w:ascii="Arial" w:eastAsia="Times New Roman" w:hAnsi="Arial" w:cs="Arial"/>
                <w:b/>
                <w:bCs/>
                <w:color w:val="FFFFFF"/>
                <w:sz w:val="18"/>
                <w:szCs w:val="20"/>
                <w:lang w:val="es-CO" w:eastAsia="es-CO"/>
              </w:rPr>
              <w:t>No.</w:t>
            </w:r>
          </w:p>
        </w:tc>
        <w:tc>
          <w:tcPr>
            <w:tcW w:w="0" w:type="auto"/>
            <w:tcBorders>
              <w:top w:val="nil"/>
              <w:left w:val="single" w:sz="4" w:space="0" w:color="FFFFFF"/>
              <w:bottom w:val="single" w:sz="12" w:space="0" w:color="FFFFFF"/>
              <w:right w:val="single" w:sz="4" w:space="0" w:color="FFFFFF"/>
            </w:tcBorders>
            <w:shd w:val="clear" w:color="4F81BD" w:fill="4F81BD"/>
            <w:noWrap/>
            <w:vAlign w:val="center"/>
            <w:hideMark/>
          </w:tcPr>
          <w:p w14:paraId="747D865C"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20"/>
                <w:lang w:val="es-CO" w:eastAsia="es-CO"/>
              </w:rPr>
            </w:pPr>
            <w:r w:rsidRPr="00DF437C">
              <w:rPr>
                <w:rFonts w:ascii="Arial" w:eastAsia="Times New Roman" w:hAnsi="Arial" w:cs="Arial"/>
                <w:b/>
                <w:bCs/>
                <w:color w:val="FFFFFF"/>
                <w:sz w:val="18"/>
                <w:szCs w:val="20"/>
                <w:lang w:val="es-CO" w:eastAsia="es-CO"/>
              </w:rPr>
              <w:t>Eje temáticos</w:t>
            </w:r>
          </w:p>
        </w:tc>
        <w:tc>
          <w:tcPr>
            <w:tcW w:w="0" w:type="auto"/>
            <w:tcBorders>
              <w:top w:val="nil"/>
              <w:left w:val="single" w:sz="4" w:space="0" w:color="FFFFFF"/>
              <w:bottom w:val="single" w:sz="12" w:space="0" w:color="FFFFFF"/>
              <w:right w:val="single" w:sz="4" w:space="0" w:color="FFFFFF"/>
            </w:tcBorders>
            <w:shd w:val="clear" w:color="4F81BD" w:fill="4F81BD"/>
            <w:vAlign w:val="center"/>
            <w:hideMark/>
          </w:tcPr>
          <w:p w14:paraId="0E986246"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20"/>
                <w:lang w:val="es-CO" w:eastAsia="es-CO"/>
              </w:rPr>
            </w:pPr>
            <w:r w:rsidRPr="00DF437C">
              <w:rPr>
                <w:rFonts w:ascii="Arial" w:eastAsia="Times New Roman" w:hAnsi="Arial" w:cs="Arial"/>
                <w:b/>
                <w:bCs/>
                <w:color w:val="FFFFFF"/>
                <w:sz w:val="18"/>
                <w:szCs w:val="20"/>
                <w:lang w:val="es-CO" w:eastAsia="es-CO"/>
              </w:rPr>
              <w:t>No. Observaciones</w:t>
            </w:r>
          </w:p>
        </w:tc>
        <w:tc>
          <w:tcPr>
            <w:tcW w:w="0" w:type="auto"/>
            <w:tcBorders>
              <w:top w:val="nil"/>
              <w:left w:val="single" w:sz="4" w:space="0" w:color="FFFFFF"/>
              <w:bottom w:val="single" w:sz="12" w:space="0" w:color="FFFFFF"/>
              <w:right w:val="nil"/>
            </w:tcBorders>
            <w:shd w:val="clear" w:color="4F81BD" w:fill="4F81BD"/>
            <w:noWrap/>
            <w:vAlign w:val="center"/>
            <w:hideMark/>
          </w:tcPr>
          <w:p w14:paraId="06FECBCF" w14:textId="77777777" w:rsidR="00DF437C" w:rsidRPr="00DF437C" w:rsidRDefault="00DF437C" w:rsidP="00DF437C">
            <w:pPr>
              <w:suppressAutoHyphens w:val="0"/>
              <w:spacing w:after="0" w:line="240" w:lineRule="auto"/>
              <w:jc w:val="center"/>
              <w:rPr>
                <w:rFonts w:ascii="Arial" w:eastAsia="Times New Roman" w:hAnsi="Arial" w:cs="Arial"/>
                <w:b/>
                <w:bCs/>
                <w:color w:val="FFFFFF"/>
                <w:sz w:val="18"/>
                <w:szCs w:val="20"/>
                <w:lang w:val="es-CO" w:eastAsia="es-CO"/>
              </w:rPr>
            </w:pPr>
            <w:r w:rsidRPr="00DF437C">
              <w:rPr>
                <w:rFonts w:ascii="Arial" w:eastAsia="Times New Roman" w:hAnsi="Arial" w:cs="Arial"/>
                <w:b/>
                <w:bCs/>
                <w:color w:val="FFFFFF"/>
                <w:sz w:val="18"/>
                <w:szCs w:val="20"/>
                <w:lang w:val="es-CO" w:eastAsia="es-CO"/>
              </w:rPr>
              <w:t>%</w:t>
            </w:r>
          </w:p>
        </w:tc>
      </w:tr>
      <w:tr w:rsidR="00DF437C" w:rsidRPr="00DF437C" w14:paraId="725EAAF5"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06141BB9"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C7834A4"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Inclusión y exclusión de empresas de la muestra</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A884667"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21</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1901BA8E"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20,39%</w:t>
            </w:r>
          </w:p>
        </w:tc>
      </w:tr>
      <w:tr w:rsidR="00DF437C" w:rsidRPr="00DF437C" w14:paraId="7A0AE4B0"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34D15CE2"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2</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EE528E2"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Datos atípicos</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85E5DB1"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12</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773CFEE1"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11,65%</w:t>
            </w:r>
          </w:p>
        </w:tc>
      </w:tr>
      <w:tr w:rsidR="00DF437C" w:rsidRPr="00DF437C" w14:paraId="78C3F4A9"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0EF423F5"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3</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71436C2"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Orientación del problema</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D8598A0"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12</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393D1E66"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11,65%</w:t>
            </w:r>
          </w:p>
        </w:tc>
      </w:tr>
      <w:tr w:rsidR="00DF437C" w:rsidRPr="00DF437C" w14:paraId="762BCC57"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108DEDC9"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4</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FE7EB32"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Remuneración de activos administrativos y operativos</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F36B953"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8</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21708F07"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7,77%</w:t>
            </w:r>
          </w:p>
        </w:tc>
      </w:tr>
      <w:tr w:rsidR="00DF437C" w:rsidRPr="00DF437C" w14:paraId="64B2B315"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094B2CC8"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5</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4019BD9" w14:textId="31BC3374"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Revisión de</w:t>
            </w:r>
            <w:r w:rsidR="009C2D53">
              <w:rPr>
                <w:rFonts w:ascii="Arial" w:eastAsia="Times New Roman" w:hAnsi="Arial" w:cs="Arial"/>
                <w:sz w:val="18"/>
                <w:szCs w:val="20"/>
                <w:lang w:val="es-CO" w:eastAsia="es-CO"/>
              </w:rPr>
              <w:t xml:space="preserve"> </w:t>
            </w:r>
            <w:r w:rsidRPr="00DF437C">
              <w:rPr>
                <w:rFonts w:ascii="Arial" w:eastAsia="Times New Roman" w:hAnsi="Arial" w:cs="Arial"/>
                <w:sz w:val="18"/>
                <w:szCs w:val="20"/>
                <w:lang w:val="es-CO" w:eastAsia="es-CO"/>
              </w:rPr>
              <w:t>l</w:t>
            </w:r>
            <w:r w:rsidR="009C2D53">
              <w:rPr>
                <w:rFonts w:ascii="Arial" w:eastAsia="Times New Roman" w:hAnsi="Arial" w:cs="Arial"/>
                <w:sz w:val="18"/>
                <w:szCs w:val="20"/>
                <w:lang w:val="es-CO" w:eastAsia="es-CO"/>
              </w:rPr>
              <w:t>os</w:t>
            </w:r>
            <w:r w:rsidRPr="00DF437C">
              <w:rPr>
                <w:rFonts w:ascii="Arial" w:eastAsia="Times New Roman" w:hAnsi="Arial" w:cs="Arial"/>
                <w:sz w:val="18"/>
                <w:szCs w:val="20"/>
                <w:lang w:val="es-CO" w:eastAsia="es-CO"/>
              </w:rPr>
              <w:t xml:space="preserve"> valor</w:t>
            </w:r>
            <w:r w:rsidR="009C2D53">
              <w:rPr>
                <w:rFonts w:ascii="Arial" w:eastAsia="Times New Roman" w:hAnsi="Arial" w:cs="Arial"/>
                <w:sz w:val="18"/>
                <w:szCs w:val="20"/>
                <w:lang w:val="es-CO" w:eastAsia="es-CO"/>
              </w:rPr>
              <w:t>es</w:t>
            </w:r>
            <w:r w:rsidRPr="00DF437C">
              <w:rPr>
                <w:rFonts w:ascii="Arial" w:eastAsia="Times New Roman" w:hAnsi="Arial" w:cs="Arial"/>
                <w:sz w:val="18"/>
                <w:szCs w:val="20"/>
                <w:lang w:val="es-CO" w:eastAsia="es-CO"/>
              </w:rPr>
              <w:t xml:space="preserve"> de las variables del modelo</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CC4873B"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7</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4A84D380"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6,80%</w:t>
            </w:r>
          </w:p>
        </w:tc>
      </w:tr>
      <w:tr w:rsidR="00DF437C" w:rsidRPr="00DF437C" w14:paraId="37A73DDF"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368D27D0"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6</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03D21B7"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Relación Inversa de las Variables</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4434A71"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6</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448B862D"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5,83%</w:t>
            </w:r>
          </w:p>
        </w:tc>
      </w:tr>
      <w:tr w:rsidR="00DF437C" w:rsidRPr="00DF437C" w14:paraId="3B0C2CD4"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25FD5F77"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7</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4442EB4"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Ajuste a la fórmula tarifaria</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6C05408"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6</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5B6489ED"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5,83%</w:t>
            </w:r>
          </w:p>
        </w:tc>
      </w:tr>
      <w:tr w:rsidR="00DF437C" w:rsidRPr="00DF437C" w14:paraId="751B0CD7"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5D2091C9"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8</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585C4E1"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Impactos en las empresas que no entran en la muestra</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7DEC50E"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5</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783A7157"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4,85%</w:t>
            </w:r>
          </w:p>
        </w:tc>
      </w:tr>
      <w:tr w:rsidR="00DF437C" w:rsidRPr="00DF437C" w14:paraId="2F4F531A"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29C88639"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9</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CD204C3"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Publicación de puntajes y del detalle de los cálculos</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00D6E53"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5</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4E4E5CEA"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4,85%</w:t>
            </w:r>
          </w:p>
        </w:tc>
      </w:tr>
      <w:tr w:rsidR="00DF437C" w:rsidRPr="00DF437C" w14:paraId="6A1BA693"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1133DAF9"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10</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D6443B9"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Particularidades No Captadas</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A86CBB3"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5</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0041746A"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4,85%</w:t>
            </w:r>
          </w:p>
        </w:tc>
      </w:tr>
      <w:tr w:rsidR="00DF437C" w:rsidRPr="00DF437C" w14:paraId="14AAA978"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41D24BB7"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11</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BAF8C70"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Verificación de las exclusiones e inclusiones que hicieron las empresas</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8AB802C"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4</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46610FDF"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3,88%</w:t>
            </w:r>
          </w:p>
        </w:tc>
      </w:tr>
      <w:tr w:rsidR="00DF437C" w:rsidRPr="00DF437C" w14:paraId="502C7DAE"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723410B2"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12</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2716E08"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Ampliación del plazo de participación ciudadana</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496FC00"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3</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0F4E76B4"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2,91%</w:t>
            </w:r>
          </w:p>
        </w:tc>
      </w:tr>
      <w:tr w:rsidR="00DF437C" w:rsidRPr="00DF437C" w14:paraId="47298CFF"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55DE4F15"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13</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C8CAE6C"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Correcciones a la información de costos del Excel</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C0C3E40"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2</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0CBCEF00"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1,94%</w:t>
            </w:r>
          </w:p>
        </w:tc>
      </w:tr>
      <w:tr w:rsidR="00DF437C" w:rsidRPr="00DF437C" w14:paraId="393BC8D0"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2012DCBE"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14</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EAB3127"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Plazo para el cálculo del DEA de los que no hacen parte del grupo básico</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8896D9F"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2</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2B3F5F67"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1,94%</w:t>
            </w:r>
          </w:p>
        </w:tc>
      </w:tr>
      <w:tr w:rsidR="00DF437C" w:rsidRPr="00DF437C" w14:paraId="58348069"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45939799"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15</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A2B9FB9"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Procedimiento de aplicación de las nuevas tarifas</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69B5F91"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2</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11ADEB9C"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1,94%</w:t>
            </w:r>
          </w:p>
        </w:tc>
      </w:tr>
      <w:tr w:rsidR="00DF437C" w:rsidRPr="00DF437C" w14:paraId="5F8F8D68"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DCE6F1" w:fill="DCE6F1"/>
            <w:noWrap/>
            <w:vAlign w:val="bottom"/>
            <w:hideMark/>
          </w:tcPr>
          <w:p w14:paraId="712F1395"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16</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60F3A5C"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OTROS / Res CRA 783 de 2016</w:t>
            </w:r>
          </w:p>
        </w:tc>
        <w:tc>
          <w:tcPr>
            <w:tcW w:w="0" w:type="auto"/>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13E9F63"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2</w:t>
            </w:r>
          </w:p>
        </w:tc>
        <w:tc>
          <w:tcPr>
            <w:tcW w:w="0" w:type="auto"/>
            <w:tcBorders>
              <w:top w:val="single" w:sz="4" w:space="0" w:color="FFFFFF"/>
              <w:left w:val="single" w:sz="4" w:space="0" w:color="FFFFFF"/>
              <w:bottom w:val="single" w:sz="4" w:space="0" w:color="FFFFFF"/>
              <w:right w:val="nil"/>
            </w:tcBorders>
            <w:shd w:val="clear" w:color="DCE6F1" w:fill="DCE6F1"/>
            <w:noWrap/>
            <w:vAlign w:val="bottom"/>
            <w:hideMark/>
          </w:tcPr>
          <w:p w14:paraId="5A7542C6"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1,94%</w:t>
            </w:r>
          </w:p>
        </w:tc>
      </w:tr>
      <w:tr w:rsidR="00DF437C" w:rsidRPr="00DF437C" w14:paraId="02C432D1" w14:textId="77777777" w:rsidTr="00DF437C">
        <w:trPr>
          <w:trHeight w:val="300"/>
          <w:jc w:val="center"/>
        </w:trPr>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14:paraId="2130AE2B" w14:textId="77777777" w:rsidR="00DF437C" w:rsidRPr="00DF437C" w:rsidRDefault="00DF437C" w:rsidP="00DF437C">
            <w:pPr>
              <w:suppressAutoHyphens w:val="0"/>
              <w:spacing w:after="0" w:line="240" w:lineRule="auto"/>
              <w:jc w:val="right"/>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17</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39663DD" w14:textId="77777777" w:rsidR="00DF437C" w:rsidRPr="00DF437C" w:rsidRDefault="00DF437C" w:rsidP="00DF437C">
            <w:pPr>
              <w:suppressAutoHyphens w:val="0"/>
              <w:spacing w:after="0" w:line="240" w:lineRule="auto"/>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Información SSPD</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B81F0A0"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1</w:t>
            </w:r>
          </w:p>
        </w:tc>
        <w:tc>
          <w:tcPr>
            <w:tcW w:w="0" w:type="auto"/>
            <w:tcBorders>
              <w:top w:val="single" w:sz="4" w:space="0" w:color="FFFFFF"/>
              <w:left w:val="single" w:sz="4" w:space="0" w:color="FFFFFF"/>
              <w:bottom w:val="single" w:sz="4" w:space="0" w:color="FFFFFF"/>
              <w:right w:val="nil"/>
            </w:tcBorders>
            <w:shd w:val="clear" w:color="B8CCE4" w:fill="B8CCE4"/>
            <w:noWrap/>
            <w:vAlign w:val="bottom"/>
            <w:hideMark/>
          </w:tcPr>
          <w:p w14:paraId="62F8EDB5" w14:textId="77777777" w:rsidR="00DF437C" w:rsidRPr="00DF437C" w:rsidRDefault="00DF437C" w:rsidP="00DF437C">
            <w:pPr>
              <w:suppressAutoHyphens w:val="0"/>
              <w:spacing w:after="0" w:line="240" w:lineRule="auto"/>
              <w:jc w:val="center"/>
              <w:rPr>
                <w:rFonts w:ascii="Arial" w:eastAsia="Times New Roman" w:hAnsi="Arial" w:cs="Arial"/>
                <w:sz w:val="18"/>
                <w:szCs w:val="20"/>
                <w:lang w:val="es-CO" w:eastAsia="es-CO"/>
              </w:rPr>
            </w:pPr>
            <w:r w:rsidRPr="00DF437C">
              <w:rPr>
                <w:rFonts w:ascii="Arial" w:eastAsia="Times New Roman" w:hAnsi="Arial" w:cs="Arial"/>
                <w:sz w:val="18"/>
                <w:szCs w:val="20"/>
                <w:lang w:val="es-CO" w:eastAsia="es-CO"/>
              </w:rPr>
              <w:t>0,97%</w:t>
            </w:r>
          </w:p>
        </w:tc>
      </w:tr>
      <w:tr w:rsidR="00DF437C" w:rsidRPr="00DF437C" w14:paraId="000E29EE" w14:textId="77777777" w:rsidTr="00DF437C">
        <w:trPr>
          <w:trHeight w:val="300"/>
          <w:jc w:val="center"/>
        </w:trPr>
        <w:tc>
          <w:tcPr>
            <w:tcW w:w="0" w:type="auto"/>
            <w:tcBorders>
              <w:top w:val="single" w:sz="12" w:space="0" w:color="FFFFFF"/>
              <w:left w:val="nil"/>
              <w:bottom w:val="nil"/>
              <w:right w:val="single" w:sz="4" w:space="0" w:color="FFFFFF"/>
            </w:tcBorders>
            <w:shd w:val="clear" w:color="4F81BD" w:fill="4F81BD"/>
            <w:noWrap/>
            <w:vAlign w:val="bottom"/>
            <w:hideMark/>
          </w:tcPr>
          <w:p w14:paraId="3BDE2B48" w14:textId="77777777" w:rsidR="00DF437C" w:rsidRPr="00DF437C" w:rsidRDefault="00DF437C" w:rsidP="00DF437C">
            <w:pPr>
              <w:suppressAutoHyphens w:val="0"/>
              <w:spacing w:after="0" w:line="240" w:lineRule="auto"/>
              <w:jc w:val="center"/>
              <w:rPr>
                <w:rFonts w:ascii="Arial" w:eastAsia="Times New Roman" w:hAnsi="Arial" w:cs="Arial"/>
                <w:b/>
                <w:bCs/>
                <w:sz w:val="18"/>
                <w:szCs w:val="20"/>
                <w:lang w:val="es-CO" w:eastAsia="es-CO"/>
              </w:rPr>
            </w:pPr>
            <w:r w:rsidRPr="00DF437C">
              <w:rPr>
                <w:rFonts w:ascii="Arial" w:eastAsia="Times New Roman" w:hAnsi="Arial" w:cs="Arial"/>
                <w:b/>
                <w:bCs/>
                <w:sz w:val="18"/>
                <w:szCs w:val="20"/>
                <w:lang w:val="es-CO" w:eastAsia="es-CO"/>
              </w:rPr>
              <w:t>Total</w:t>
            </w:r>
          </w:p>
        </w:tc>
        <w:tc>
          <w:tcPr>
            <w:tcW w:w="0" w:type="auto"/>
            <w:tcBorders>
              <w:top w:val="single" w:sz="12" w:space="0" w:color="FFFFFF"/>
              <w:left w:val="single" w:sz="4" w:space="0" w:color="FFFFFF"/>
              <w:bottom w:val="nil"/>
              <w:right w:val="single" w:sz="4" w:space="0" w:color="FFFFFF"/>
            </w:tcBorders>
            <w:shd w:val="clear" w:color="4F81BD" w:fill="4F81BD"/>
            <w:noWrap/>
            <w:vAlign w:val="bottom"/>
            <w:hideMark/>
          </w:tcPr>
          <w:p w14:paraId="552F3B34" w14:textId="77777777" w:rsidR="00DF437C" w:rsidRPr="00DF437C" w:rsidRDefault="00DF437C" w:rsidP="00DF437C">
            <w:pPr>
              <w:suppressAutoHyphens w:val="0"/>
              <w:spacing w:after="0" w:line="240" w:lineRule="auto"/>
              <w:jc w:val="center"/>
              <w:rPr>
                <w:rFonts w:ascii="Arial" w:eastAsia="Times New Roman" w:hAnsi="Arial" w:cs="Arial"/>
                <w:b/>
                <w:bCs/>
                <w:sz w:val="18"/>
                <w:szCs w:val="20"/>
                <w:lang w:val="es-CO" w:eastAsia="es-CO"/>
              </w:rPr>
            </w:pPr>
          </w:p>
        </w:tc>
        <w:tc>
          <w:tcPr>
            <w:tcW w:w="0" w:type="auto"/>
            <w:tcBorders>
              <w:top w:val="single" w:sz="12" w:space="0" w:color="FFFFFF"/>
              <w:left w:val="single" w:sz="4" w:space="0" w:color="FFFFFF"/>
              <w:bottom w:val="nil"/>
              <w:right w:val="single" w:sz="4" w:space="0" w:color="FFFFFF"/>
            </w:tcBorders>
            <w:shd w:val="clear" w:color="4F81BD" w:fill="4F81BD"/>
            <w:noWrap/>
            <w:vAlign w:val="bottom"/>
            <w:hideMark/>
          </w:tcPr>
          <w:p w14:paraId="0FFF26C4" w14:textId="77777777" w:rsidR="00DF437C" w:rsidRPr="00DF437C" w:rsidRDefault="00DF437C" w:rsidP="00DF437C">
            <w:pPr>
              <w:suppressAutoHyphens w:val="0"/>
              <w:spacing w:after="0" w:line="240" w:lineRule="auto"/>
              <w:jc w:val="center"/>
              <w:rPr>
                <w:rFonts w:ascii="Arial" w:eastAsia="Times New Roman" w:hAnsi="Arial" w:cs="Arial"/>
                <w:b/>
                <w:bCs/>
                <w:sz w:val="18"/>
                <w:szCs w:val="20"/>
                <w:lang w:val="es-CO" w:eastAsia="es-CO"/>
              </w:rPr>
            </w:pPr>
            <w:r w:rsidRPr="00DF437C">
              <w:rPr>
                <w:rFonts w:ascii="Arial" w:eastAsia="Times New Roman" w:hAnsi="Arial" w:cs="Arial"/>
                <w:b/>
                <w:bCs/>
                <w:sz w:val="18"/>
                <w:szCs w:val="20"/>
                <w:lang w:val="es-CO" w:eastAsia="es-CO"/>
              </w:rPr>
              <w:t>103</w:t>
            </w:r>
          </w:p>
        </w:tc>
        <w:tc>
          <w:tcPr>
            <w:tcW w:w="0" w:type="auto"/>
            <w:tcBorders>
              <w:top w:val="single" w:sz="12" w:space="0" w:color="FFFFFF"/>
              <w:left w:val="single" w:sz="4" w:space="0" w:color="FFFFFF"/>
              <w:bottom w:val="nil"/>
              <w:right w:val="nil"/>
            </w:tcBorders>
            <w:shd w:val="clear" w:color="4F81BD" w:fill="4F81BD"/>
            <w:noWrap/>
            <w:vAlign w:val="bottom"/>
            <w:hideMark/>
          </w:tcPr>
          <w:p w14:paraId="4A7EDDC2" w14:textId="77777777" w:rsidR="00DF437C" w:rsidRPr="00DF437C" w:rsidRDefault="00DF437C" w:rsidP="00DF437C">
            <w:pPr>
              <w:suppressAutoHyphens w:val="0"/>
              <w:spacing w:after="0" w:line="240" w:lineRule="auto"/>
              <w:jc w:val="center"/>
              <w:rPr>
                <w:rFonts w:ascii="Arial" w:eastAsia="Times New Roman" w:hAnsi="Arial" w:cs="Arial"/>
                <w:b/>
                <w:bCs/>
                <w:sz w:val="18"/>
                <w:szCs w:val="20"/>
                <w:lang w:val="es-CO" w:eastAsia="es-CO"/>
              </w:rPr>
            </w:pPr>
            <w:r w:rsidRPr="00DF437C">
              <w:rPr>
                <w:rFonts w:ascii="Arial" w:eastAsia="Times New Roman" w:hAnsi="Arial" w:cs="Arial"/>
                <w:b/>
                <w:bCs/>
                <w:sz w:val="18"/>
                <w:szCs w:val="20"/>
                <w:lang w:val="es-CO" w:eastAsia="es-CO"/>
              </w:rPr>
              <w:t>100,00%</w:t>
            </w:r>
          </w:p>
        </w:tc>
      </w:tr>
    </w:tbl>
    <w:p w14:paraId="3A6B49C1" w14:textId="77777777" w:rsidR="00744C19" w:rsidRPr="00C83B4A" w:rsidRDefault="00744C19" w:rsidP="00FC5C01">
      <w:pPr>
        <w:spacing w:after="0" w:line="240" w:lineRule="auto"/>
        <w:ind w:left="284" w:hanging="284"/>
        <w:jc w:val="both"/>
        <w:rPr>
          <w:rFonts w:ascii="Arial" w:hAnsi="Arial" w:cs="Arial"/>
          <w:sz w:val="20"/>
          <w:szCs w:val="20"/>
        </w:rPr>
      </w:pPr>
    </w:p>
    <w:p w14:paraId="40F95718" w14:textId="77777777" w:rsidR="00744C19" w:rsidRDefault="00744C19" w:rsidP="004D7E7E">
      <w:pPr>
        <w:spacing w:after="0" w:line="240" w:lineRule="auto"/>
        <w:ind w:left="284" w:hanging="284"/>
        <w:jc w:val="both"/>
        <w:rPr>
          <w:rFonts w:ascii="Arial" w:hAnsi="Arial" w:cs="Arial"/>
          <w:sz w:val="20"/>
          <w:szCs w:val="20"/>
          <w:lang w:val="es-MX"/>
        </w:rPr>
      </w:pPr>
    </w:p>
    <w:p w14:paraId="388EFD00" w14:textId="77777777" w:rsidR="00744C19" w:rsidRPr="003E73E3" w:rsidRDefault="003E73E3" w:rsidP="009F4942">
      <w:pPr>
        <w:pStyle w:val="Ttulo1"/>
        <w:rPr>
          <w:lang w:val="es-MX"/>
        </w:rPr>
      </w:pPr>
      <w:bookmarkStart w:id="5" w:name="_Toc506988577"/>
      <w:r w:rsidRPr="003E73E3">
        <w:rPr>
          <w:lang w:val="es-MX"/>
        </w:rPr>
        <w:t>OBSERVACIONES RECIBIDAS</w:t>
      </w:r>
      <w:bookmarkEnd w:id="5"/>
    </w:p>
    <w:p w14:paraId="608CB533" w14:textId="77777777" w:rsidR="003E73E3" w:rsidRDefault="003E73E3" w:rsidP="004D7E7E">
      <w:pPr>
        <w:spacing w:after="0" w:line="240" w:lineRule="auto"/>
        <w:ind w:left="284" w:hanging="284"/>
        <w:jc w:val="both"/>
        <w:rPr>
          <w:rFonts w:ascii="Arial" w:hAnsi="Arial" w:cs="Arial"/>
          <w:sz w:val="20"/>
          <w:szCs w:val="20"/>
          <w:lang w:val="es-MX"/>
        </w:rPr>
      </w:pPr>
    </w:p>
    <w:p w14:paraId="11105B51" w14:textId="2F32A596" w:rsidR="00D311C6" w:rsidRPr="00097873" w:rsidRDefault="00D311C6" w:rsidP="00D311C6">
      <w:pPr>
        <w:spacing w:after="0" w:line="240" w:lineRule="auto"/>
        <w:jc w:val="both"/>
        <w:rPr>
          <w:rFonts w:ascii="Arial" w:hAnsi="Arial" w:cs="Arial"/>
          <w:sz w:val="20"/>
          <w:szCs w:val="20"/>
          <w:lang w:val="es-CO"/>
        </w:rPr>
      </w:pPr>
      <w:r w:rsidRPr="00097873">
        <w:rPr>
          <w:rFonts w:ascii="Arial" w:hAnsi="Arial" w:cs="Arial"/>
          <w:sz w:val="20"/>
          <w:szCs w:val="20"/>
          <w:lang w:val="es-CO"/>
        </w:rPr>
        <w:t xml:space="preserve">La siguiente relación contiene las observaciones, reparos y sugerencias recibidas, tanto escritas como presenciales, durante el proceso de consultas públicas, las cuales fueron analizadas y discutidas por el Comité de Expertos y sirvieron de base para expedir la resolución </w:t>
      </w:r>
      <w:r w:rsidR="004E085E" w:rsidRPr="004E085E">
        <w:rPr>
          <w:rFonts w:ascii="Arial" w:hAnsi="Arial" w:cs="Arial"/>
          <w:sz w:val="20"/>
          <w:lang w:val="es-CO" w:bidi="en-US"/>
        </w:rPr>
        <w:t>“</w:t>
      </w:r>
      <w:r w:rsidR="004E085E" w:rsidRPr="004E085E">
        <w:rPr>
          <w:rFonts w:ascii="Arial" w:hAnsi="Arial" w:cs="Arial"/>
          <w:i/>
          <w:sz w:val="20"/>
          <w:lang w:val="es-CO" w:bidi="en-US"/>
        </w:rPr>
        <w:t>Por la cual se presentan las variables que conforman los modelos de eficiencia establecidos en la Resolución CRA 688 de 2014, para determinar los puntajes de eficiencia comparativa PDEA y se dictan otras disposiciones”</w:t>
      </w:r>
    </w:p>
    <w:p w14:paraId="3B8BFA95" w14:textId="77777777" w:rsidR="00D311C6" w:rsidRPr="00097873" w:rsidRDefault="00D311C6" w:rsidP="00D311C6">
      <w:pPr>
        <w:spacing w:after="0" w:line="240" w:lineRule="auto"/>
        <w:jc w:val="both"/>
        <w:rPr>
          <w:rFonts w:ascii="Arial" w:hAnsi="Arial" w:cs="Arial"/>
          <w:sz w:val="20"/>
          <w:szCs w:val="20"/>
          <w:lang w:val="es-CO"/>
        </w:rPr>
      </w:pPr>
    </w:p>
    <w:p w14:paraId="0418FCE6" w14:textId="77777777" w:rsidR="00C83B4A" w:rsidRPr="00C83B4A" w:rsidRDefault="00D311C6" w:rsidP="00DE75A4">
      <w:pPr>
        <w:spacing w:after="0" w:line="240" w:lineRule="auto"/>
        <w:jc w:val="both"/>
        <w:rPr>
          <w:rFonts w:ascii="Arial" w:hAnsi="Arial" w:cs="Arial"/>
          <w:sz w:val="20"/>
          <w:szCs w:val="20"/>
        </w:rPr>
      </w:pPr>
      <w:r w:rsidRPr="00097873">
        <w:rPr>
          <w:rFonts w:ascii="Arial" w:hAnsi="Arial" w:cs="Arial"/>
          <w:sz w:val="20"/>
          <w:szCs w:val="20"/>
          <w:lang w:val="es-CO"/>
        </w:rPr>
        <w:lastRenderedPageBreak/>
        <w:t>Cada observación tiene asignado un número de respuesta, para encontrar el concepto emitid</w:t>
      </w:r>
      <w:r>
        <w:rPr>
          <w:rFonts w:ascii="Arial" w:hAnsi="Arial" w:cs="Arial"/>
          <w:sz w:val="20"/>
          <w:szCs w:val="20"/>
          <w:lang w:val="es-CO"/>
        </w:rPr>
        <w:t xml:space="preserve">o a dicha </w:t>
      </w:r>
      <w:r w:rsidRPr="00097873">
        <w:rPr>
          <w:rFonts w:ascii="Arial" w:hAnsi="Arial" w:cs="Arial"/>
          <w:sz w:val="20"/>
          <w:szCs w:val="20"/>
          <w:lang w:val="es-CO"/>
        </w:rPr>
        <w:t>respuesta deberá remitirse al numeral 4 del presente documento</w:t>
      </w:r>
    </w:p>
    <w:p w14:paraId="4DAAC411" w14:textId="77777777" w:rsidR="006C1A83" w:rsidRDefault="006C1A83" w:rsidP="00DE75A4">
      <w:pPr>
        <w:spacing w:after="0" w:line="240" w:lineRule="auto"/>
        <w:ind w:left="284" w:hanging="284"/>
        <w:jc w:val="both"/>
        <w:rPr>
          <w:rFonts w:ascii="Arial" w:hAnsi="Arial" w:cs="Arial"/>
          <w:sz w:val="20"/>
          <w:szCs w:val="20"/>
          <w:lang w:val="es-MX"/>
        </w:rPr>
      </w:pPr>
    </w:p>
    <w:tbl>
      <w:tblPr>
        <w:tblW w:w="0" w:type="auto"/>
        <w:tblInd w:w="75" w:type="dxa"/>
        <w:tblCellMar>
          <w:left w:w="70" w:type="dxa"/>
          <w:right w:w="70" w:type="dxa"/>
        </w:tblCellMar>
        <w:tblLook w:val="04A0" w:firstRow="1" w:lastRow="0" w:firstColumn="1" w:lastColumn="0" w:noHBand="0" w:noVBand="1"/>
      </w:tblPr>
      <w:tblGrid>
        <w:gridCol w:w="1883"/>
        <w:gridCol w:w="8004"/>
      </w:tblGrid>
      <w:tr w:rsidR="00B72CCC" w:rsidRPr="00B72CCC" w14:paraId="32F7920A" w14:textId="77777777" w:rsidTr="00B72CCC">
        <w:trPr>
          <w:trHeight w:val="315"/>
        </w:trPr>
        <w:tc>
          <w:tcPr>
            <w:tcW w:w="0" w:type="auto"/>
            <w:tcBorders>
              <w:top w:val="single" w:sz="4" w:space="0" w:color="auto"/>
              <w:left w:val="single" w:sz="4" w:space="0" w:color="auto"/>
              <w:bottom w:val="single" w:sz="4" w:space="0" w:color="auto"/>
              <w:right w:val="single" w:sz="4" w:space="0" w:color="auto"/>
            </w:tcBorders>
            <w:shd w:val="clear" w:color="9999FF" w:fill="BFBFBF"/>
            <w:vAlign w:val="center"/>
            <w:hideMark/>
          </w:tcPr>
          <w:p w14:paraId="2B30A914"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14:paraId="04D32322" w14:textId="77777777" w:rsidR="00B72CCC" w:rsidRPr="00B72CCC" w:rsidRDefault="00B72CCC" w:rsidP="00B72CCC">
            <w:pPr>
              <w:suppressAutoHyphens w:val="0"/>
              <w:spacing w:after="0" w:line="240" w:lineRule="auto"/>
              <w:jc w:val="center"/>
              <w:rPr>
                <w:rFonts w:ascii="Arial" w:eastAsia="Times New Roman" w:hAnsi="Arial" w:cs="Arial"/>
                <w:b/>
                <w:bCs/>
                <w:color w:val="000000"/>
                <w:sz w:val="20"/>
                <w:szCs w:val="20"/>
                <w:lang w:val="es-CO" w:eastAsia="es-CO"/>
              </w:rPr>
            </w:pPr>
            <w:r w:rsidRPr="00B72CCC">
              <w:rPr>
                <w:rFonts w:ascii="Arial" w:eastAsia="Times New Roman" w:hAnsi="Arial" w:cs="Arial"/>
                <w:b/>
                <w:bCs/>
                <w:color w:val="000000"/>
                <w:sz w:val="20"/>
                <w:szCs w:val="20"/>
                <w:lang w:val="es-CO" w:eastAsia="es-CO"/>
              </w:rPr>
              <w:t>1</w:t>
            </w:r>
          </w:p>
        </w:tc>
      </w:tr>
      <w:tr w:rsidR="00B72CCC" w:rsidRPr="00B72CCC" w14:paraId="157802E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EAA566F"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47C2C122"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20173210042142</w:t>
            </w:r>
          </w:p>
        </w:tc>
      </w:tr>
      <w:tr w:rsidR="00B72CCC" w:rsidRPr="00B72CCC" w14:paraId="41E36E4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81431AF"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9C2D146"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28 de abril de 2017</w:t>
            </w:r>
          </w:p>
        </w:tc>
      </w:tr>
      <w:tr w:rsidR="00B72CCC" w:rsidRPr="00B72CCC" w14:paraId="680E3AB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D0B743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B7524B6"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B72CCC" w:rsidRPr="00B72CCC" w14:paraId="6ECED9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4EEC40A"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6E37365"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B72CCC" w:rsidRPr="00B72CCC" w14:paraId="5F0498F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8003EE"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A23807A"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B72CCC" w:rsidRPr="00B72CCC" w14:paraId="4E14E576" w14:textId="77777777" w:rsidTr="00564245">
        <w:trPr>
          <w:trHeight w:val="167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E6C4079"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9F24384" w14:textId="43EF7BE9"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En atención a que ha sido publicada la Resolución CRA 791 de 2017, y teniendo en cuenta que toda la información de nuestra empresa se encuentra debidamente reportada y ajustada, respetuosamente solicitamos aplicar el modelo DEA incorporando a nuestra empresa e informarnos los resultados obtenidos.</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 xml:space="preserve">Lo anterior, de manera independiente a que como parte del proceso de discusiones que conlleva el periodo de </w:t>
            </w:r>
            <w:r w:rsidR="00564245" w:rsidRPr="00B72CCC">
              <w:rPr>
                <w:rFonts w:ascii="Arial" w:eastAsia="Times New Roman" w:hAnsi="Arial" w:cs="Arial"/>
                <w:color w:val="000000"/>
                <w:sz w:val="20"/>
                <w:szCs w:val="20"/>
                <w:lang w:val="es-CO" w:eastAsia="es-CO"/>
              </w:rPr>
              <w:t>participación</w:t>
            </w:r>
            <w:r w:rsidRPr="00B72CCC">
              <w:rPr>
                <w:rFonts w:ascii="Arial" w:eastAsia="Times New Roman" w:hAnsi="Arial" w:cs="Arial"/>
                <w:color w:val="000000"/>
                <w:sz w:val="20"/>
                <w:szCs w:val="20"/>
                <w:lang w:val="es-CO" w:eastAsia="es-CO"/>
              </w:rPr>
              <w:t xml:space="preserve"> ciudadana de la resolución en mención, nuestra empresa quede integrada a la base final del DEA, o deba ser corrida en dicho modelo de manera aislada.</w:t>
            </w:r>
          </w:p>
        </w:tc>
      </w:tr>
      <w:tr w:rsidR="00B72CCC" w:rsidRPr="00B72CCC" w14:paraId="7F5CDB3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2B3B6C9"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3780B79"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B72CCC" w:rsidRPr="00B72CCC" w14:paraId="50947C1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540C3B"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3B65EF27"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B72CCC" w:rsidRPr="00B72CCC" w14:paraId="212A1CA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695EC9"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44663C75"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B72CCC" w:rsidRPr="00B72CCC" w14:paraId="3862F37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79A5629"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26E849C6"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B72CCC" w:rsidRPr="00B72CCC" w14:paraId="6B2FEA6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230175"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4FBCE8E" w14:textId="09FE3AFE"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46648" w:rsidRPr="00146648">
              <w:rPr>
                <w:rFonts w:ascii="Arial" w:eastAsia="Times New Roman" w:hAnsi="Arial" w:cs="Arial"/>
                <w:color w:val="000000"/>
                <w:sz w:val="20"/>
                <w:szCs w:val="20"/>
                <w:lang w:val="es-CO" w:eastAsia="es-CO"/>
              </w:rPr>
              <w:t>RESPUESTA No.1</w:t>
            </w:r>
          </w:p>
        </w:tc>
      </w:tr>
      <w:tr w:rsidR="00B72CCC" w:rsidRPr="00B72CCC" w14:paraId="3462B5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3FB8C6"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FA0517B"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w:t>
            </w:r>
          </w:p>
        </w:tc>
      </w:tr>
      <w:tr w:rsidR="00B72CCC" w:rsidRPr="00B72CCC" w14:paraId="5C11270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9D7C77B"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60C9731"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20173210043212</w:t>
            </w:r>
          </w:p>
        </w:tc>
      </w:tr>
      <w:tr w:rsidR="00B72CCC" w:rsidRPr="00B72CCC" w14:paraId="06C34C1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91293CE"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8BD0705"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3 de mayo de 2017</w:t>
            </w:r>
          </w:p>
        </w:tc>
      </w:tr>
      <w:tr w:rsidR="00B72CCC" w:rsidRPr="00B72CCC" w14:paraId="382B676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4A0EC2"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D24CF23"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B72CCC" w:rsidRPr="00B72CCC" w14:paraId="69419AD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2BA838"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9E17490"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B72CCC" w:rsidRPr="00B72CCC" w14:paraId="675CE5E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4DE24D7"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293813D0"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B72CCC" w:rsidRPr="00B72CCC" w14:paraId="01A41020" w14:textId="77777777" w:rsidTr="00564245">
        <w:trPr>
          <w:trHeight w:val="262"/>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1EBE857"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23D3843"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"Queremos insistir en la importancia de realizar los ajustes regulatorios necesarios para aumentar la muestra de empresas, así como realizar el ejercicio particular de verificación de la información de costos"</w:t>
            </w:r>
          </w:p>
        </w:tc>
      </w:tr>
      <w:tr w:rsidR="00B72CCC" w:rsidRPr="00B72CCC" w14:paraId="5F7A601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E0B4E6F"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2CCA247"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B72CCC" w:rsidRPr="00B72CCC" w14:paraId="09FB6F2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C4CCF5"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3CF7D036"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B72CCC" w:rsidRPr="00B72CCC" w14:paraId="0FECB96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E4D6BC"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F0EA56B"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B72CCC" w:rsidRPr="00B72CCC" w14:paraId="2C9396F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791CC3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F52F525"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B72CCC" w:rsidRPr="00B72CCC" w14:paraId="585888B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1415D8"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E96C035" w14:textId="103A4500"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46648" w:rsidRPr="00B72CCC">
              <w:rPr>
                <w:rFonts w:ascii="Arial" w:eastAsia="Times New Roman" w:hAnsi="Arial" w:cs="Arial"/>
                <w:color w:val="000000"/>
                <w:sz w:val="20"/>
                <w:szCs w:val="20"/>
                <w:lang w:val="es-CO" w:eastAsia="es-CO"/>
              </w:rPr>
              <w:t> </w:t>
            </w:r>
            <w:r w:rsidR="00146648" w:rsidRPr="00146648">
              <w:rPr>
                <w:rFonts w:ascii="Arial" w:eastAsia="Times New Roman" w:hAnsi="Arial" w:cs="Arial"/>
                <w:color w:val="000000"/>
                <w:sz w:val="20"/>
                <w:szCs w:val="20"/>
                <w:lang w:val="es-CO" w:eastAsia="es-CO"/>
              </w:rPr>
              <w:t>RESPUESTA No.1</w:t>
            </w:r>
          </w:p>
        </w:tc>
      </w:tr>
      <w:tr w:rsidR="00B72CCC" w:rsidRPr="00B72CCC" w14:paraId="17D0AC9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80ED87"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8253E38"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w:t>
            </w:r>
          </w:p>
        </w:tc>
      </w:tr>
      <w:tr w:rsidR="00B72CCC" w:rsidRPr="00B72CCC" w14:paraId="3E5C18A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B79997C"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4301FD38"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20173210043212</w:t>
            </w:r>
          </w:p>
        </w:tc>
      </w:tr>
      <w:tr w:rsidR="00B72CCC" w:rsidRPr="00B72CCC" w14:paraId="0C7EF04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2A60D5"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AD1C4FC"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3 de mayo de 2017</w:t>
            </w:r>
          </w:p>
        </w:tc>
      </w:tr>
      <w:tr w:rsidR="00B72CCC" w:rsidRPr="00B72CCC" w14:paraId="1DED28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CD3DF6D"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72F556D"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B72CCC" w:rsidRPr="00B72CCC" w14:paraId="7F290DD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28C17E"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C93DA42"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B72CCC" w:rsidRPr="00B72CCC" w14:paraId="6D24B3D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505A2BC"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24410334"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B72CCC" w:rsidRPr="00B72CCC" w14:paraId="4F65F8D5" w14:textId="77777777" w:rsidTr="00B72CCC">
        <w:trPr>
          <w:trHeight w:val="600"/>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414F43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2E89341"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"vemos necesario que se publiquen en detalle el tratamiento dado a los datos atípicos, así como la información base utilizada".</w:t>
            </w:r>
          </w:p>
        </w:tc>
      </w:tr>
      <w:tr w:rsidR="00B72CCC" w:rsidRPr="00B72CCC" w14:paraId="443654A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07E384"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47AFF427"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B72CCC" w:rsidRPr="00B72CCC" w14:paraId="5EB6D61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35A9EB9"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6881C69"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B72CCC" w:rsidRPr="00B72CCC" w14:paraId="0C2A45C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73F0FA3"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947A24D"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B72CCC" w:rsidRPr="00B72CCC" w14:paraId="2354262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C2D886"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9F97D98"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B72CCC" w:rsidRPr="00B72CCC" w14:paraId="01D3A1E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48A29F"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393A2A6" w14:textId="418CE0B1"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6306BF" w:rsidRPr="00B72CCC">
              <w:rPr>
                <w:rFonts w:ascii="Arial" w:eastAsia="Times New Roman" w:hAnsi="Arial" w:cs="Arial"/>
                <w:color w:val="000000"/>
                <w:sz w:val="20"/>
                <w:szCs w:val="20"/>
                <w:lang w:val="es-CO" w:eastAsia="es-CO"/>
              </w:rPr>
              <w:t> </w:t>
            </w:r>
            <w:r w:rsidR="006306BF">
              <w:rPr>
                <w:rFonts w:ascii="Arial" w:eastAsia="Times New Roman" w:hAnsi="Arial" w:cs="Arial"/>
                <w:color w:val="000000"/>
                <w:sz w:val="20"/>
                <w:szCs w:val="20"/>
                <w:lang w:val="es-CO" w:eastAsia="es-CO"/>
              </w:rPr>
              <w:t>RESPUESTA No.2</w:t>
            </w:r>
          </w:p>
        </w:tc>
      </w:tr>
      <w:tr w:rsidR="00B72CCC" w:rsidRPr="00B72CCC" w14:paraId="4EAB2E8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F80965"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C8D2AAD"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w:t>
            </w:r>
          </w:p>
        </w:tc>
      </w:tr>
      <w:tr w:rsidR="00B72CCC" w:rsidRPr="00B72CCC" w14:paraId="68E81D6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24B84D"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3BF31D8"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20173210043212</w:t>
            </w:r>
          </w:p>
        </w:tc>
      </w:tr>
      <w:tr w:rsidR="00B72CCC" w:rsidRPr="00B72CCC" w14:paraId="60F4EF6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BBE0FBB"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56E3BB2"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3 de mayo de 2017</w:t>
            </w:r>
          </w:p>
        </w:tc>
      </w:tr>
      <w:tr w:rsidR="00B72CCC" w:rsidRPr="00B72CCC" w14:paraId="74F06EB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F925203"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1B610B05"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B72CCC" w:rsidRPr="00B72CCC" w14:paraId="11B1C51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D37F2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3AC0CE29"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B72CCC" w:rsidRPr="00B72CCC" w14:paraId="127FC8E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E23CFF"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14AED55"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B72CCC" w:rsidRPr="00B72CCC" w14:paraId="3CC4AE53" w14:textId="77777777" w:rsidTr="006306BF">
        <w:trPr>
          <w:trHeight w:val="844"/>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4ACC1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F83579C"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Nuestra solicitud puntal es que la CRA revise la posibilidad de ampliar el plazo de participación, para que cada empresa pueda realizar los descargos correspondientes ante posibles inconsistencias y controversias frente a la información publicada.</w:t>
            </w:r>
          </w:p>
        </w:tc>
      </w:tr>
      <w:tr w:rsidR="00B72CCC" w:rsidRPr="00B72CCC" w14:paraId="2EE4E51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06077E6"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FE492E9"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B72CCC" w:rsidRPr="00B72CCC" w14:paraId="54772B2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3655BD"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25840316"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B72CCC" w:rsidRPr="00B72CCC" w14:paraId="393CE3F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BF2792"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25DF2EB"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Ampliación del plazo de participación ciudadana</w:t>
            </w:r>
          </w:p>
        </w:tc>
      </w:tr>
      <w:tr w:rsidR="00B72CCC" w:rsidRPr="00B72CCC" w14:paraId="2FB934E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0030061"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E326E2B"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B72CCC" w:rsidRPr="00B72CCC" w14:paraId="521D10E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2E3343"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A7192E4" w14:textId="56B3B47B"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6306BF" w:rsidRPr="00B72CCC">
              <w:rPr>
                <w:rFonts w:ascii="Arial" w:eastAsia="Times New Roman" w:hAnsi="Arial" w:cs="Arial"/>
                <w:color w:val="000000"/>
                <w:sz w:val="20"/>
                <w:szCs w:val="20"/>
                <w:lang w:val="es-CO" w:eastAsia="es-CO"/>
              </w:rPr>
              <w:t> </w:t>
            </w:r>
            <w:r w:rsidR="006306BF" w:rsidRPr="00146648">
              <w:rPr>
                <w:rFonts w:ascii="Arial" w:eastAsia="Times New Roman" w:hAnsi="Arial" w:cs="Arial"/>
                <w:color w:val="000000"/>
                <w:sz w:val="20"/>
                <w:szCs w:val="20"/>
                <w:lang w:val="es-CO" w:eastAsia="es-CO"/>
              </w:rPr>
              <w:t>RESPUESTA No.1</w:t>
            </w:r>
            <w:r w:rsidR="006306BF">
              <w:rPr>
                <w:rFonts w:ascii="Arial" w:eastAsia="Times New Roman" w:hAnsi="Arial" w:cs="Arial"/>
                <w:color w:val="000000"/>
                <w:sz w:val="20"/>
                <w:szCs w:val="20"/>
                <w:lang w:val="es-CO" w:eastAsia="es-CO"/>
              </w:rPr>
              <w:t>2</w:t>
            </w:r>
          </w:p>
        </w:tc>
      </w:tr>
      <w:tr w:rsidR="00B72CCC" w:rsidRPr="00B72CCC" w14:paraId="2216830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1EC3EA"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74EB8DA"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w:t>
            </w:r>
          </w:p>
        </w:tc>
      </w:tr>
      <w:tr w:rsidR="00B72CCC" w:rsidRPr="00B72CCC" w14:paraId="7866BF5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AD5286"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843B440"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20173210044192</w:t>
            </w:r>
          </w:p>
        </w:tc>
      </w:tr>
      <w:tr w:rsidR="00B72CCC" w:rsidRPr="00B72CCC" w14:paraId="002B82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C80A89"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D48E2A4"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5 de mayo de 2017</w:t>
            </w:r>
          </w:p>
        </w:tc>
      </w:tr>
      <w:tr w:rsidR="00B72CCC" w:rsidRPr="00B72CCC" w14:paraId="1671E91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308E78"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01D6546F"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Armenia</w:t>
            </w:r>
          </w:p>
        </w:tc>
      </w:tr>
      <w:tr w:rsidR="00B72CCC" w:rsidRPr="00B72CCC" w14:paraId="7CC8064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B07C4C4"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4146087"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Armenia</w:t>
            </w:r>
          </w:p>
        </w:tc>
      </w:tr>
      <w:tr w:rsidR="00B72CCC" w:rsidRPr="00B72CCC" w14:paraId="68DA02C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A535C6"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7D0CA319"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B72CCC" w:rsidRPr="00B72CCC" w14:paraId="185838AC" w14:textId="77777777" w:rsidTr="00564245">
        <w:trPr>
          <w:trHeight w:val="34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EAA2ABF"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136A4AC"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Calidad del Agua Cruda: "No obstante, al validar el argumento presentado por la empresa con la Superintendencia de Servicios Públicos Domiciliarios, dicha entidad señala que el prestador además de no presentar ninguna solicitud de reversión, la información que reporta tiene inconsistencias que impiden calcular de la Calidad del Agua Cruda por tal razón se considera dato atípico no justificable".</w:t>
            </w:r>
            <w:r w:rsidRPr="00B72CCC">
              <w:rPr>
                <w:rFonts w:ascii="Arial" w:eastAsia="Times New Roman" w:hAnsi="Arial" w:cs="Arial"/>
                <w:color w:val="000000"/>
                <w:sz w:val="20"/>
                <w:szCs w:val="20"/>
                <w:lang w:val="es-CO" w:eastAsia="es-CO"/>
              </w:rPr>
              <w:br/>
              <w:t xml:space="preserve">Al respecto considera la Empresa que se hace necesario explorar a fondo los motivos por </w:t>
            </w:r>
            <w:r w:rsidRPr="00B72CCC">
              <w:rPr>
                <w:rFonts w:ascii="Arial" w:eastAsia="Times New Roman" w:hAnsi="Arial" w:cs="Arial"/>
                <w:color w:val="000000"/>
                <w:sz w:val="20"/>
                <w:szCs w:val="20"/>
                <w:lang w:val="es-CO" w:eastAsia="es-CO"/>
              </w:rPr>
              <w:lastRenderedPageBreak/>
              <w:t>los cuales para la Superintendencia de Servicios Públicos Domiciliarios, la información reportada "tiene inconsistencias que impiden calcular de la Calidad del Agua Cruda"</w:t>
            </w:r>
          </w:p>
        </w:tc>
      </w:tr>
      <w:tr w:rsidR="00B72CCC" w:rsidRPr="00B72CCC" w14:paraId="7C7A44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B82DE54"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697E6B3"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B72CCC" w:rsidRPr="00B72CCC" w14:paraId="6CC8FD4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B536DC"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3806827E"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B72CCC" w:rsidRPr="00B72CCC" w14:paraId="12CBA46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5A88C83"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E237EFD"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B72CCC" w:rsidRPr="00B72CCC" w14:paraId="5724748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96FAE62"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C81B5B3"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B72CCC" w:rsidRPr="00B72CCC" w14:paraId="1B3AB2F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C9783D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4BA88672" w14:textId="308B6943"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6306BF" w:rsidRPr="00B72CCC">
              <w:rPr>
                <w:rFonts w:ascii="Arial" w:eastAsia="Times New Roman" w:hAnsi="Arial" w:cs="Arial"/>
                <w:color w:val="000000"/>
                <w:sz w:val="20"/>
                <w:szCs w:val="20"/>
                <w:lang w:val="es-CO" w:eastAsia="es-CO"/>
              </w:rPr>
              <w:t> </w:t>
            </w:r>
            <w:r w:rsidR="006306BF">
              <w:rPr>
                <w:rFonts w:ascii="Arial" w:eastAsia="Times New Roman" w:hAnsi="Arial" w:cs="Arial"/>
                <w:color w:val="000000"/>
                <w:sz w:val="20"/>
                <w:szCs w:val="20"/>
                <w:lang w:val="es-CO" w:eastAsia="es-CO"/>
              </w:rPr>
              <w:t>RESPUESTA No.2</w:t>
            </w:r>
          </w:p>
        </w:tc>
      </w:tr>
      <w:tr w:rsidR="00B72CCC" w:rsidRPr="00B72CCC" w14:paraId="0E32F0A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F132C8"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135F635"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w:t>
            </w:r>
          </w:p>
        </w:tc>
      </w:tr>
      <w:tr w:rsidR="00B72CCC" w:rsidRPr="00B72CCC" w14:paraId="62511C7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47D0C6"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5211C8E"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20173210044192</w:t>
            </w:r>
          </w:p>
        </w:tc>
      </w:tr>
      <w:tr w:rsidR="00B72CCC" w:rsidRPr="00B72CCC" w14:paraId="496F525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CBF14B8"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98AB5DB"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5 de mayo de 2017</w:t>
            </w:r>
          </w:p>
        </w:tc>
      </w:tr>
      <w:tr w:rsidR="00B72CCC" w:rsidRPr="00B72CCC" w14:paraId="765F030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EB603BB"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7BA0503"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Armenia</w:t>
            </w:r>
          </w:p>
        </w:tc>
      </w:tr>
      <w:tr w:rsidR="00B72CCC" w:rsidRPr="00B72CCC" w14:paraId="2893285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604139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56F4411"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Armenia</w:t>
            </w:r>
          </w:p>
        </w:tc>
      </w:tr>
      <w:tr w:rsidR="00B72CCC" w:rsidRPr="00B72CCC" w14:paraId="249BB46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07EE46D"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F0DEF22"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B72CCC" w:rsidRPr="00B72CCC" w14:paraId="2FE33024" w14:textId="77777777" w:rsidTr="006306BF">
        <w:trPr>
          <w:trHeight w:val="156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464D772"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BA9E5D7"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"Consideramos que el grupo base compuesto sólo por nueve (9) prestadores, no es representativo y por ende genera desviaciones importantes principalmente para la medición efectuada sobre los prestadores que no están incluidos allí ". Adicionalmente, la empresa presenta la disminución de su CAU* .</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"La regulación, en un tema tan sensible como es la comparación de prestadores, debe ser más incluyente con el fin de lograr trazar el mejor indicador de eficiencia modelo para el sector".</w:t>
            </w:r>
          </w:p>
        </w:tc>
      </w:tr>
      <w:tr w:rsidR="00B72CCC" w:rsidRPr="00B72CCC" w14:paraId="1B8DF76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BA900C"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4534F453"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B72CCC" w:rsidRPr="00B72CCC" w14:paraId="71CACB1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05A2AA7"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E230D88"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B72CCC" w:rsidRPr="00B72CCC" w14:paraId="4F3D196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BDECD9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D80BF70"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B72CCC" w:rsidRPr="00B72CCC" w14:paraId="5AF3D5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039B71"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36F2BE6"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B72CCC" w:rsidRPr="00B72CCC" w14:paraId="5F7CCBC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43D37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60134CF9" w14:textId="73F6501A"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A93BC7" w:rsidRPr="00B72CCC">
              <w:rPr>
                <w:rFonts w:ascii="Arial" w:eastAsia="Times New Roman" w:hAnsi="Arial" w:cs="Arial"/>
                <w:color w:val="000000"/>
                <w:sz w:val="20"/>
                <w:szCs w:val="20"/>
                <w:lang w:val="es-CO" w:eastAsia="es-CO"/>
              </w:rPr>
              <w:t> </w:t>
            </w:r>
            <w:r w:rsidR="00A93BC7" w:rsidRPr="00146648">
              <w:rPr>
                <w:rFonts w:ascii="Arial" w:eastAsia="Times New Roman" w:hAnsi="Arial" w:cs="Arial"/>
                <w:color w:val="000000"/>
                <w:sz w:val="20"/>
                <w:szCs w:val="20"/>
                <w:lang w:val="es-CO" w:eastAsia="es-CO"/>
              </w:rPr>
              <w:t>RESPUESTA No.1</w:t>
            </w:r>
          </w:p>
        </w:tc>
      </w:tr>
      <w:tr w:rsidR="00B72CCC" w:rsidRPr="00B72CCC" w14:paraId="1FEF59E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1A1F9D7"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DFA8C9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w:t>
            </w:r>
          </w:p>
        </w:tc>
      </w:tr>
      <w:tr w:rsidR="00B72CCC" w:rsidRPr="00B72CCC" w14:paraId="0E86F0F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5830AF"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E506D89"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20173210044192</w:t>
            </w:r>
          </w:p>
        </w:tc>
      </w:tr>
      <w:tr w:rsidR="00B72CCC" w:rsidRPr="00B72CCC" w14:paraId="47B9967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9D63506"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9BD2176"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5 de mayo de 2017</w:t>
            </w:r>
          </w:p>
        </w:tc>
      </w:tr>
      <w:tr w:rsidR="00B72CCC" w:rsidRPr="00B72CCC" w14:paraId="40376D8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CF2575"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6DCD07E"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Armenia</w:t>
            </w:r>
          </w:p>
        </w:tc>
      </w:tr>
      <w:tr w:rsidR="00B72CCC" w:rsidRPr="00B72CCC" w14:paraId="4EC5498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972BD2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31CE349D"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Armenia</w:t>
            </w:r>
          </w:p>
        </w:tc>
      </w:tr>
      <w:tr w:rsidR="00B72CCC" w:rsidRPr="00B72CCC" w14:paraId="0EF2008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1A24F08"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ABEA5F8"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B72CCC" w:rsidRPr="00B72CCC" w14:paraId="2488950C" w14:textId="77777777" w:rsidTr="006306BF">
        <w:trPr>
          <w:trHeight w:val="134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50BDDE9"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634D38CA"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"Se hace necesario aclarar dentro de la Resolución, si los parámetros "Porcentaje de particularidades no captadas en el modelo para costos administrativos y para costos operativos comparables — PNCDEA" fijados en 2,28% y 3,57% respectivamente (artículos 4 y 8), ya están incluidos en los valores de CAU y COU, de que tratan los artículos 5 y 9 así como los Anexos I y II, o si por el contrario estos parámetros PNCDEA deben ser sumados posteriormente".</w:t>
            </w:r>
          </w:p>
        </w:tc>
      </w:tr>
      <w:tr w:rsidR="00B72CCC" w:rsidRPr="00B72CCC" w14:paraId="3A9BC86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6CAA3E9"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46FEDE1D"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B72CCC" w:rsidRPr="00B72CCC" w14:paraId="54E4BA4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646819"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7FA3589"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B72CCC" w:rsidRPr="00B72CCC" w14:paraId="74BBB29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5CB638D"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Eje temático</w:t>
            </w:r>
          </w:p>
        </w:tc>
        <w:tc>
          <w:tcPr>
            <w:tcW w:w="0" w:type="auto"/>
            <w:tcBorders>
              <w:top w:val="nil"/>
              <w:left w:val="nil"/>
              <w:bottom w:val="single" w:sz="4" w:space="0" w:color="auto"/>
              <w:right w:val="single" w:sz="4" w:space="0" w:color="auto"/>
            </w:tcBorders>
            <w:shd w:val="clear" w:color="auto" w:fill="auto"/>
            <w:vAlign w:val="bottom"/>
            <w:hideMark/>
          </w:tcPr>
          <w:p w14:paraId="46B6FAAE"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Particularidades No Captadas</w:t>
            </w:r>
          </w:p>
        </w:tc>
      </w:tr>
      <w:tr w:rsidR="00B72CCC" w:rsidRPr="00B72CCC" w14:paraId="3B551D3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FBFFCDC"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3547D3B"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B72CCC" w:rsidRPr="00B72CCC" w14:paraId="6BAFA6D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4DDC0F"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4FFFD93" w14:textId="5D2AF204" w:rsidR="00B72CCC" w:rsidRPr="00B72CCC" w:rsidRDefault="00A93BC7" w:rsidP="00B72CCC">
            <w:pPr>
              <w:suppressAutoHyphens w:val="0"/>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RESPUESTA No.7</w:t>
            </w:r>
          </w:p>
        </w:tc>
      </w:tr>
      <w:tr w:rsidR="00B72CCC" w:rsidRPr="00B72CCC" w14:paraId="4B087ED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A1BB3D"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398E14F"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w:t>
            </w:r>
          </w:p>
        </w:tc>
      </w:tr>
      <w:tr w:rsidR="00B72CCC" w:rsidRPr="00B72CCC" w14:paraId="7A1261E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FF71B15"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5D6BCB5"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20173210044192</w:t>
            </w:r>
          </w:p>
        </w:tc>
      </w:tr>
      <w:tr w:rsidR="00B72CCC" w:rsidRPr="00B72CCC" w14:paraId="59DDC43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433902"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3EEC3E3"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5 de mayo de 2017</w:t>
            </w:r>
          </w:p>
        </w:tc>
      </w:tr>
      <w:tr w:rsidR="00B72CCC" w:rsidRPr="00B72CCC" w14:paraId="74C30E7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BBD4946"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17B0CD5C"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Armenia</w:t>
            </w:r>
          </w:p>
        </w:tc>
      </w:tr>
      <w:tr w:rsidR="00B72CCC" w:rsidRPr="00B72CCC" w14:paraId="1C763B6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0F1FCE"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314418C0"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Armenia</w:t>
            </w:r>
          </w:p>
        </w:tc>
      </w:tr>
      <w:tr w:rsidR="00B72CCC" w:rsidRPr="00B72CCC" w14:paraId="464A1D6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ED23E26"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2A7468B"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B72CCC" w:rsidRPr="00B72CCC" w14:paraId="2CD15C1F" w14:textId="77777777" w:rsidTr="006306BF">
        <w:trPr>
          <w:trHeight w:val="162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4561F1B"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16F414DF"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Se hace necesario aclarar de manera detallada dentro de la Resolución, cuál debe ser el procedimiento para legalizar y aplicar las nuevas tarifas obtenidas en la aplicación de esta nueva Resolución, esto considerando además que la Resolución CRA 151 de 2001 es bastante ambigua respecto a estos procedimientos. Es decir, se debe convocar nuevamente Audiencia Pública?, se debe publicar a los usuarios? Cuál debe ser el término de publicación antes de aplicar?, se debe informar a la Superintendencia de Servicios Públicos Domiciliarios y a la Comisión de Regulación de Agua Potable y Saneamiento Básico? En qué términos y con qué alcance?</w:t>
            </w:r>
          </w:p>
        </w:tc>
      </w:tr>
      <w:tr w:rsidR="00B72CCC" w:rsidRPr="00B72CCC" w14:paraId="3BE62EC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C7D212"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AD3014F"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B72CCC" w:rsidRPr="00B72CCC" w14:paraId="039ED33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89E7F76"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38C978D"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B72CCC" w:rsidRPr="00B72CCC" w14:paraId="3160024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19BA65"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910B798"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Procedimiento de aplicación de las nuevas tarifas</w:t>
            </w:r>
          </w:p>
        </w:tc>
      </w:tr>
      <w:tr w:rsidR="00B72CCC" w:rsidRPr="00B72CCC" w14:paraId="48CABA2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44699C"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A945D44"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B72CCC" w:rsidRPr="00B72CCC" w14:paraId="38EAC09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453D903"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FB90B13" w14:textId="15402A13" w:rsidR="00B72CCC" w:rsidRPr="00B72CCC" w:rsidRDefault="00A93BC7" w:rsidP="00A93BC7">
            <w:pPr>
              <w:suppressAutoHyphens w:val="0"/>
              <w:spacing w:after="0" w:line="240" w:lineRule="auto"/>
              <w:jc w:val="both"/>
              <w:rPr>
                <w:rFonts w:ascii="Arial" w:eastAsia="Times New Roman" w:hAnsi="Arial" w:cs="Arial"/>
                <w:color w:val="000000"/>
                <w:sz w:val="20"/>
                <w:szCs w:val="20"/>
                <w:lang w:val="es-CO" w:eastAsia="es-CO"/>
              </w:rPr>
            </w:pPr>
            <w:r w:rsidRPr="00146648">
              <w:rPr>
                <w:rFonts w:ascii="Arial" w:eastAsia="Times New Roman" w:hAnsi="Arial" w:cs="Arial"/>
                <w:color w:val="000000"/>
                <w:sz w:val="20"/>
                <w:szCs w:val="20"/>
                <w:lang w:val="es-CO" w:eastAsia="es-CO"/>
              </w:rPr>
              <w:t>RESPUESTA No.1</w:t>
            </w:r>
            <w:r>
              <w:rPr>
                <w:rFonts w:ascii="Arial" w:eastAsia="Times New Roman" w:hAnsi="Arial" w:cs="Arial"/>
                <w:color w:val="000000"/>
                <w:sz w:val="20"/>
                <w:szCs w:val="20"/>
                <w:lang w:val="es-CO" w:eastAsia="es-CO"/>
              </w:rPr>
              <w:t>3</w:t>
            </w:r>
          </w:p>
        </w:tc>
      </w:tr>
      <w:tr w:rsidR="00B72CCC" w:rsidRPr="00B72CCC" w14:paraId="423F2C7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EABE17"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88B4767"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w:t>
            </w:r>
          </w:p>
        </w:tc>
      </w:tr>
      <w:tr w:rsidR="00B72CCC" w:rsidRPr="00B72CCC" w14:paraId="5CEB626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C996FE1"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565C960"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20173210044912</w:t>
            </w:r>
          </w:p>
        </w:tc>
      </w:tr>
      <w:tr w:rsidR="00B72CCC" w:rsidRPr="00B72CCC" w14:paraId="3C307E7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D2A22D7"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48778C1"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9 de mayo de 2017</w:t>
            </w:r>
          </w:p>
        </w:tc>
      </w:tr>
      <w:tr w:rsidR="00B72CCC" w:rsidRPr="00B72CCC" w14:paraId="4401A95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B70B330"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1D96FA01"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Medellín</w:t>
            </w:r>
          </w:p>
        </w:tc>
      </w:tr>
      <w:tr w:rsidR="00B72CCC" w:rsidRPr="00B72CCC" w14:paraId="41D4381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ECB4D0C"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8578D4B"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Medellín</w:t>
            </w:r>
          </w:p>
        </w:tc>
      </w:tr>
      <w:tr w:rsidR="00B72CCC" w:rsidRPr="00B72CCC" w14:paraId="68A1BB2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79570D"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B0D4F23"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B72CCC" w:rsidRPr="00B72CCC" w14:paraId="641E88F7" w14:textId="77777777" w:rsidTr="00A93BC7">
        <w:trPr>
          <w:trHeight w:val="1342"/>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F955495"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EDA9F50"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El modelo no puede ser corrido con todas las variables con la relación directa con el costo, ya que hay variables cuyo comportamiento se supone inverso o explica de forma inversa el costo, tal es el caso del “número de suscriptores industriales y comerciales”.</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Para la corrida del modelo la comisión deberá considerar el hecho de que no todos los productos tienen relación directa con el costo operativo (Calidad del agua cruda).</w:t>
            </w:r>
          </w:p>
        </w:tc>
      </w:tr>
      <w:tr w:rsidR="00B72CCC" w:rsidRPr="00B72CCC" w14:paraId="7708E74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27961D2"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5AA72F5"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B72CCC" w:rsidRPr="00B72CCC" w14:paraId="6139F7E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B9DDAE4"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1E31F70"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B72CCC" w:rsidRPr="00B72CCC" w14:paraId="21EDF0E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7E77E09" w14:textId="77777777" w:rsidR="00B72CCC" w:rsidRPr="00B72CCC" w:rsidRDefault="00B72CCC" w:rsidP="00B72CCC">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6DAC615" w14:textId="77777777" w:rsidR="00B72CCC" w:rsidRPr="00B72CCC" w:rsidRDefault="00B72CCC" w:rsidP="00B72CC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Relación Inversa de las Variables</w:t>
            </w:r>
          </w:p>
        </w:tc>
      </w:tr>
      <w:tr w:rsidR="00A5241F" w:rsidRPr="00B72CCC" w14:paraId="52F7084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40205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7249F0F" w14:textId="03A977F4"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46A013D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0528C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Respuesta</w:t>
            </w:r>
          </w:p>
        </w:tc>
        <w:tc>
          <w:tcPr>
            <w:tcW w:w="0" w:type="auto"/>
            <w:tcBorders>
              <w:top w:val="nil"/>
              <w:left w:val="nil"/>
              <w:bottom w:val="single" w:sz="4" w:space="0" w:color="auto"/>
              <w:right w:val="single" w:sz="4" w:space="0" w:color="auto"/>
            </w:tcBorders>
            <w:shd w:val="clear" w:color="auto" w:fill="auto"/>
            <w:vAlign w:val="bottom"/>
            <w:hideMark/>
          </w:tcPr>
          <w:p w14:paraId="62FAB289" w14:textId="272303F1"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RESPUESTA No.6</w:t>
            </w:r>
          </w:p>
        </w:tc>
      </w:tr>
      <w:tr w:rsidR="00A5241F" w:rsidRPr="00B72CCC" w14:paraId="0CBDCBF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626631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9B5565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10</w:t>
            </w:r>
          </w:p>
        </w:tc>
      </w:tr>
      <w:tr w:rsidR="00A5241F" w:rsidRPr="00B72CCC" w14:paraId="55D97B7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84617A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406042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20173210044912</w:t>
            </w:r>
          </w:p>
        </w:tc>
      </w:tr>
      <w:tr w:rsidR="00A5241F" w:rsidRPr="00B72CCC" w14:paraId="0A4E7C2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6292B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7A46F4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9 de mayo de 2017</w:t>
            </w:r>
          </w:p>
        </w:tc>
      </w:tr>
      <w:tr w:rsidR="00A5241F" w:rsidRPr="00B72CCC" w14:paraId="5F8FFF0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FD607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66BC5C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Medellín</w:t>
            </w:r>
          </w:p>
        </w:tc>
      </w:tr>
      <w:tr w:rsidR="00A5241F" w:rsidRPr="00B72CCC" w14:paraId="6E3CCA0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238445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33A2239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Medellín</w:t>
            </w:r>
          </w:p>
        </w:tc>
      </w:tr>
      <w:tr w:rsidR="00A5241F" w:rsidRPr="00B72CCC" w14:paraId="02EF102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D1F246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EC4E76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7F96B02" w14:textId="77777777" w:rsidTr="00A93BC7">
        <w:trPr>
          <w:trHeight w:val="134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4C3E1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FF653C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La Resolución CRA 688 de 2014 establece claramente que el modelo del cálculo del PDEA tomará las mismas premisas del modelo de la Resolución CRA 287, a excepción de algunas variables que de acuerdo con los estudios de la Resolución CRA 489 de 2009 no eran necesarias.</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Para el cálculo del PDEA en los costos administrativos la comisión debe considerar que no todos los productos son no controlables, lo que sugiere entonces que es necesario correr el modelo cambiando la orientación del mismo; es decir, usar el principio de dualidad, en el que la minimización del input se transforma en la maximización del output.</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En los costos operativos la orientación permanece hacia el insumo dado que no se presentan productos controlables</w:t>
            </w:r>
            <w:r w:rsidRPr="00B72CCC">
              <w:rPr>
                <w:rFonts w:ascii="Arial" w:eastAsia="Times New Roman" w:hAnsi="Arial" w:cs="Arial"/>
                <w:color w:val="000000"/>
                <w:sz w:val="20"/>
                <w:szCs w:val="20"/>
                <w:lang w:val="es-CO" w:eastAsia="es-CO"/>
              </w:rPr>
              <w:br w:type="page"/>
            </w:r>
          </w:p>
        </w:tc>
      </w:tr>
      <w:tr w:rsidR="00A5241F" w:rsidRPr="00B72CCC" w14:paraId="4D43D62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68B2AE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3F8DD0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B43970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E7B0E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1E0770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365B50D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B05733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B22852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75AD5D5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839CF0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CC827D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1E6F93A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E1A9B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6A38C1CC" w14:textId="7BEC95A1"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RESPUESTA No.3</w:t>
            </w:r>
          </w:p>
        </w:tc>
      </w:tr>
      <w:tr w:rsidR="00A5241F" w:rsidRPr="00B72CCC" w14:paraId="2D428D5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80B17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924A10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11</w:t>
            </w:r>
          </w:p>
        </w:tc>
      </w:tr>
      <w:tr w:rsidR="00A5241F" w:rsidRPr="00B72CCC" w14:paraId="4ED32E2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D352FD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C79919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20173210044912</w:t>
            </w:r>
          </w:p>
        </w:tc>
      </w:tr>
      <w:tr w:rsidR="00A5241F" w:rsidRPr="00B72CCC" w14:paraId="02A9038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9DDE3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162B43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9 de mayo de 2017</w:t>
            </w:r>
          </w:p>
        </w:tc>
      </w:tr>
      <w:tr w:rsidR="00A5241F" w:rsidRPr="00B72CCC" w14:paraId="3F252CE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F8AEC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754E6B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Medellín</w:t>
            </w:r>
          </w:p>
        </w:tc>
      </w:tr>
      <w:tr w:rsidR="00A5241F" w:rsidRPr="00B72CCC" w14:paraId="274B45B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38ECB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72DD1A6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Medellín</w:t>
            </w:r>
          </w:p>
        </w:tc>
      </w:tr>
      <w:tr w:rsidR="00A5241F" w:rsidRPr="00B72CCC" w14:paraId="297DD47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BEB5B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84E938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61C05208" w14:textId="77777777" w:rsidTr="00E10153">
        <w:trPr>
          <w:trHeight w:val="20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4DBFB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50BF9B9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La herramienta no permite la selección del output como controlable o no controlable, y para que el análisis sea consistente el cálculo del DEA de la metodología CRA 287 de 2004, la variable “número de Suscriptores con micromedición efectiva” debe ser controlable y las demás, no controlables</w:t>
            </w:r>
          </w:p>
        </w:tc>
      </w:tr>
      <w:tr w:rsidR="00A5241F" w:rsidRPr="00B72CCC" w14:paraId="5F29E84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A17F1D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3A6C03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1AD50DD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5C00EC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404E51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0964305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81390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4A75199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3437CCC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39F5C0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39B9F3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488FFBC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B8F42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617B0C33" w14:textId="71A7207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Pr>
                <w:rFonts w:ascii="Arial" w:eastAsia="Times New Roman" w:hAnsi="Arial" w:cs="Arial"/>
                <w:color w:val="000000"/>
                <w:sz w:val="20"/>
                <w:szCs w:val="20"/>
                <w:lang w:val="es-CO" w:eastAsia="es-CO"/>
              </w:rPr>
              <w:t>RESPUESTA No.3</w:t>
            </w:r>
          </w:p>
        </w:tc>
      </w:tr>
      <w:tr w:rsidR="00A5241F" w:rsidRPr="00B72CCC" w14:paraId="4603A9D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BB202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3CCE1E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12</w:t>
            </w:r>
          </w:p>
        </w:tc>
      </w:tr>
      <w:tr w:rsidR="00A5241F" w:rsidRPr="00B72CCC" w14:paraId="6C48805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989E0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AF2B64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20173210044912</w:t>
            </w:r>
          </w:p>
        </w:tc>
      </w:tr>
      <w:tr w:rsidR="00A5241F" w:rsidRPr="00B72CCC" w14:paraId="1581C05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46F5CD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F48C38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9 de mayo de 2017</w:t>
            </w:r>
          </w:p>
        </w:tc>
      </w:tr>
      <w:tr w:rsidR="00A5241F" w:rsidRPr="00B72CCC" w14:paraId="4913613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DBCF9E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5CC48D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Medellín</w:t>
            </w:r>
          </w:p>
        </w:tc>
      </w:tr>
      <w:tr w:rsidR="00A5241F" w:rsidRPr="00B72CCC" w14:paraId="237C979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78506D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1563749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Medellín</w:t>
            </w:r>
          </w:p>
        </w:tc>
      </w:tr>
      <w:tr w:rsidR="00A5241F" w:rsidRPr="00B72CCC" w14:paraId="4EFBA1F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DCFD09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2883450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84E795D" w14:textId="77777777" w:rsidTr="00E10153">
        <w:trPr>
          <w:trHeight w:val="52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6814FB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49DB977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Solicitamos a la Comisión que se hagan las correcciones conceptuales al modelo de forma consistente con las definiciones de eficiencia que se han tenido durante todos estos años.</w:t>
            </w:r>
          </w:p>
        </w:tc>
      </w:tr>
      <w:tr w:rsidR="00A5241F" w:rsidRPr="00B72CCC" w14:paraId="20F020B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592A30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2586016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7F3C19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24AA1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49EB78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204151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D556D0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61449CD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12AB5BB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4DE79D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5F5683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15EE553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2EA90F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BC81585" w14:textId="1B7DA11A"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Pr>
                <w:rFonts w:ascii="Arial" w:eastAsia="Times New Roman" w:hAnsi="Arial" w:cs="Arial"/>
                <w:color w:val="000000"/>
                <w:sz w:val="20"/>
                <w:szCs w:val="20"/>
                <w:lang w:val="es-CO" w:eastAsia="es-CO"/>
              </w:rPr>
              <w:t>RESPUESTA No.3</w:t>
            </w:r>
          </w:p>
        </w:tc>
      </w:tr>
      <w:tr w:rsidR="00A5241F" w:rsidRPr="00B72CCC" w14:paraId="24A9338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348579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39559E5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13</w:t>
            </w:r>
          </w:p>
        </w:tc>
      </w:tr>
      <w:tr w:rsidR="00A5241F" w:rsidRPr="00B72CCC" w14:paraId="2710744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2A581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58193D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20173210044912</w:t>
            </w:r>
          </w:p>
        </w:tc>
      </w:tr>
      <w:tr w:rsidR="00A5241F" w:rsidRPr="00B72CCC" w14:paraId="7561B6E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494F8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07C234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9 de mayo de 2017</w:t>
            </w:r>
          </w:p>
        </w:tc>
      </w:tr>
      <w:tr w:rsidR="00A5241F" w:rsidRPr="00B72CCC" w14:paraId="35871E8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B295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1E1F658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Medellín</w:t>
            </w:r>
          </w:p>
        </w:tc>
      </w:tr>
      <w:tr w:rsidR="00A5241F" w:rsidRPr="00B72CCC" w14:paraId="1B5448E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BAAC7C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1BF19F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Medellín</w:t>
            </w:r>
          </w:p>
        </w:tc>
      </w:tr>
      <w:tr w:rsidR="00A5241F" w:rsidRPr="00B72CCC" w14:paraId="15846A5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B7D07B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69E648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A3950B8" w14:textId="77777777" w:rsidTr="00E10153">
        <w:trPr>
          <w:trHeight w:val="152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F03B6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22400A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Hemos identificado en el análisis presentado por la comisión, que las depreciaciones de activos administrativos tales como edificaciones, muebles, maquinaria y equipos de oficina, de comunicación y computación, y equipos de transporte, así como de los bienes para uso administrativo, adquiridos por leasing financiero de las cuentas de gasto 5330 y 5331 del PUC, no incluyen el factor de recuperación del capital – FRC, del que trata el numeral g del artículo 27, que para el primer segmento es de 27,93%.</w:t>
            </w:r>
            <w:r w:rsidRPr="00B72CCC">
              <w:rPr>
                <w:rFonts w:ascii="Arial" w:eastAsia="Times New Roman" w:hAnsi="Arial" w:cs="Arial"/>
                <w:color w:val="000000"/>
                <w:sz w:val="20"/>
                <w:szCs w:val="20"/>
                <w:lang w:val="es-CO" w:eastAsia="es-CO"/>
              </w:rPr>
              <w:br/>
              <w:t>Es importante que la comisión incluya este valor con el respectivo cálculo de la remuneración de activos,</w:t>
            </w:r>
          </w:p>
        </w:tc>
      </w:tr>
      <w:tr w:rsidR="00A5241F" w:rsidRPr="00B72CCC" w14:paraId="1E3F715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3DA851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1301FC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FC372D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2EB762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E20EA2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68629B8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818C9E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A06F7F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Remuneración de activos administrativos y operativos</w:t>
            </w:r>
          </w:p>
        </w:tc>
      </w:tr>
      <w:tr w:rsidR="00A5241F" w:rsidRPr="00B72CCC" w14:paraId="45F949B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9F5BF7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3BE48B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48A2C4E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78D96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DDED51E" w14:textId="6717C79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Pr>
                <w:rFonts w:ascii="Arial" w:eastAsia="Times New Roman" w:hAnsi="Arial" w:cs="Arial"/>
                <w:color w:val="000000"/>
                <w:sz w:val="20"/>
                <w:szCs w:val="20"/>
                <w:lang w:val="es-CO" w:eastAsia="es-CO"/>
              </w:rPr>
              <w:t>RESPUESTA No.4</w:t>
            </w:r>
          </w:p>
        </w:tc>
      </w:tr>
      <w:tr w:rsidR="00A5241F" w:rsidRPr="00B72CCC" w14:paraId="40A8328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768A61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4B78CF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14</w:t>
            </w:r>
          </w:p>
        </w:tc>
      </w:tr>
      <w:tr w:rsidR="00A5241F" w:rsidRPr="00B72CCC" w14:paraId="272BFC9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FA6570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B6685E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20173210044912</w:t>
            </w:r>
          </w:p>
        </w:tc>
      </w:tr>
      <w:tr w:rsidR="00A5241F" w:rsidRPr="00B72CCC" w14:paraId="3754ED9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D86B2B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383836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9 de mayo de 2017</w:t>
            </w:r>
          </w:p>
        </w:tc>
      </w:tr>
      <w:tr w:rsidR="00A5241F" w:rsidRPr="00B72CCC" w14:paraId="737EF0F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2BBEA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93CFB3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Medellín</w:t>
            </w:r>
          </w:p>
        </w:tc>
      </w:tr>
      <w:tr w:rsidR="00A5241F" w:rsidRPr="00B72CCC" w14:paraId="380D0A0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7EFB24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71968F8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Medellín</w:t>
            </w:r>
          </w:p>
        </w:tc>
      </w:tr>
      <w:tr w:rsidR="00A5241F" w:rsidRPr="00B72CCC" w14:paraId="138208E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747970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079962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5D4431DE" w14:textId="77777777" w:rsidTr="00A93BC7">
        <w:trPr>
          <w:trHeight w:val="173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E9C11E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4467CD8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"reiteramos la importancia de que la comisión realice el análisis comparativo de los costos entre los diferentes prestadores y haga el respectivo ejercicio de verificación de datos sobre el tratamiento que las empresas dieron a la depuración de cuentas regulatorias, especialmente aquellas cuentas de comercialización que debían excluirse de los costos operativos y llevarse al costo administrativo.</w:t>
            </w:r>
            <w:r w:rsidRPr="00B72CCC">
              <w:rPr>
                <w:rFonts w:ascii="Arial" w:eastAsia="Times New Roman" w:hAnsi="Arial" w:cs="Arial"/>
                <w:color w:val="000000"/>
                <w:sz w:val="20"/>
                <w:szCs w:val="20"/>
                <w:lang w:val="es-CO" w:eastAsia="es-CO"/>
              </w:rPr>
              <w:br/>
              <w:t>Por lo tanto, solicitamos a la CRA que haga pública la información detallada de todas las cuentas con las respectivas exclusiones e inclusiones que harán parte de esta muestra y comparta la metodología con que dicha información ha sido verificada.</w:t>
            </w:r>
          </w:p>
        </w:tc>
      </w:tr>
      <w:tr w:rsidR="00A5241F" w:rsidRPr="00B72CCC" w14:paraId="6E91D80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3A079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941DB9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1AFA59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C18F91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518563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48A01BC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A705B2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36519E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Verificación de las exclusiones e inclusiones que hicieron las empresas</w:t>
            </w:r>
          </w:p>
        </w:tc>
      </w:tr>
      <w:tr w:rsidR="00A5241F" w:rsidRPr="00B72CCC" w14:paraId="1B3A9E7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157294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7D6EC7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704C4E0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2DE4A7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14DCA901" w14:textId="761563DB"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r>
              <w:rPr>
                <w:rFonts w:ascii="Arial" w:eastAsia="Times New Roman" w:hAnsi="Arial" w:cs="Arial"/>
                <w:color w:val="000000"/>
                <w:sz w:val="20"/>
                <w:szCs w:val="20"/>
                <w:lang w:val="es-CO" w:eastAsia="es-CO"/>
              </w:rPr>
              <w:t>1</w:t>
            </w:r>
          </w:p>
        </w:tc>
      </w:tr>
      <w:tr w:rsidR="00A5241F" w:rsidRPr="00B72CCC" w14:paraId="157DE6D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5B158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355969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15</w:t>
            </w:r>
          </w:p>
        </w:tc>
      </w:tr>
      <w:tr w:rsidR="00A5241F" w:rsidRPr="00B72CCC" w14:paraId="301C11F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0D4F0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B9D644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20173210044912</w:t>
            </w:r>
          </w:p>
        </w:tc>
      </w:tr>
      <w:tr w:rsidR="00A5241F" w:rsidRPr="00B72CCC" w14:paraId="36807D1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EA105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181AAC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9 de mayo de 2017</w:t>
            </w:r>
          </w:p>
        </w:tc>
      </w:tr>
      <w:tr w:rsidR="00A5241F" w:rsidRPr="00B72CCC" w14:paraId="70C915F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4BA01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248754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Medellín</w:t>
            </w:r>
          </w:p>
        </w:tc>
      </w:tr>
      <w:tr w:rsidR="00A5241F" w:rsidRPr="00B72CCC" w14:paraId="47DF787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D5C7C6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101D1C9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Medellín</w:t>
            </w:r>
          </w:p>
        </w:tc>
      </w:tr>
      <w:tr w:rsidR="00A5241F" w:rsidRPr="00B72CCC" w14:paraId="7F24C4D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31E623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FAB067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D747FFB" w14:textId="77777777" w:rsidTr="00A93BC7">
        <w:trPr>
          <w:trHeight w:val="488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9F9D3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465EC9E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"En las APS de Caldas y Barbosa acatamos lo estipulado en el parágrafo 1 del artículo 4 de la Resolución CRA 735 de 2015, es decir; siendo APS de un prestador del primer segmento, pero con un mercado del segundo segmento, adoptamos la metodología del primer segmento, surtiendo el proceso previo de comunicación a la CRA. Así, para el cálculo de los costos administrativos la empresa aplicó el parágrafo 4 del artículo 27..."</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"Siendo consecuentes con esta forma de cálculo y teniendo en cuenta que el costo total a reportarse en el archivo de Excel de la SSPD en el mes de febrero de 2017, debía ser coincidente con los costos incluidos por las personas prestadoras en su estudio de costos para definir los costos base CAb,ac/al., los costos para el cálculo del PDEA, se reportaron agregados con los de las APS de Caldas y Barbosa. Cabe recordar que las exclusiones solicitadas en este archivo, correspondían a las exclusiones de cálculo y no a las separaciones por APS por segmento.</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Analizando la información que nos entrega la comisión en el proyecto de Resolución CRA 791 de 2017, encontramos que el análisis del CA está reflejando una combinación de información: se tienen los costos administrativos incluyendo a Caldas y Barbosa, pero los usuarios no contemplan estas APS, por lo tanto, para el CA agregado deben incluirse los usuarios de las APS de Caldas y Barbosa ..."</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"Solicitamos a la Comisión la inclusión depurada de esta información bien sea adicionando los usuarios de estas APS o descontando la información de costos"</w:t>
            </w:r>
          </w:p>
        </w:tc>
      </w:tr>
      <w:tr w:rsidR="00A5241F" w:rsidRPr="00B72CCC" w14:paraId="04A2B41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5E8A9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AF7847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551D87D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0E4640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4DE097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4ED2AB2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8F262F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5CB2EE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Correcciones a la información de costos del Excel</w:t>
            </w:r>
          </w:p>
        </w:tc>
      </w:tr>
      <w:tr w:rsidR="00A5241F" w:rsidRPr="00B72CCC" w14:paraId="365C9EF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2FCFE9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EBEBCC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0D92CF6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4B72E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B84B7FA" w14:textId="5129E59A"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r>
              <w:rPr>
                <w:rFonts w:ascii="Arial" w:eastAsia="Times New Roman" w:hAnsi="Arial" w:cs="Arial"/>
                <w:color w:val="000000"/>
                <w:sz w:val="20"/>
                <w:szCs w:val="20"/>
                <w:lang w:val="es-CO" w:eastAsia="es-CO"/>
              </w:rPr>
              <w:t>5</w:t>
            </w:r>
          </w:p>
        </w:tc>
      </w:tr>
      <w:tr w:rsidR="00A5241F" w:rsidRPr="00B72CCC" w14:paraId="3659E80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2B9D9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849E81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16</w:t>
            </w:r>
          </w:p>
        </w:tc>
      </w:tr>
      <w:tr w:rsidR="00A5241F" w:rsidRPr="00B72CCC" w14:paraId="497CC37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227A31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5A9ADC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20173210044912</w:t>
            </w:r>
          </w:p>
        </w:tc>
      </w:tr>
      <w:tr w:rsidR="00A5241F" w:rsidRPr="00B72CCC" w14:paraId="18A90DF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263CF6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A19539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9 de mayo de 2017</w:t>
            </w:r>
          </w:p>
        </w:tc>
      </w:tr>
      <w:tr w:rsidR="00A5241F" w:rsidRPr="00B72CCC" w14:paraId="4B42291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89A07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2DD9FA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Públicas de Medellín</w:t>
            </w:r>
          </w:p>
        </w:tc>
      </w:tr>
      <w:tr w:rsidR="00A5241F" w:rsidRPr="00B72CCC" w14:paraId="2D4611D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42E973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A6C069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Medellín</w:t>
            </w:r>
          </w:p>
        </w:tc>
      </w:tr>
      <w:tr w:rsidR="00A5241F" w:rsidRPr="00B72CCC" w14:paraId="1A46239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2670E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1C5BF3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B56B2A1" w14:textId="77777777" w:rsidTr="00A93BC7">
        <w:trPr>
          <w:trHeight w:val="1214"/>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FCEF8B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12289E8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"Al hacer la verificación de la información del CO que publica la CRA en la Resolución CRA 791 de 2017, encontramos diferencias en el CO de acueducto y alcantarillado reportado por la empresa a la superintendencia en el mes de febrero de 2017.</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Volvemos a enviar el archivo de Excel que se entregó a la superintendencia en su momento. Solicitamos a la Comisión que se corrija la información del modelo pues puede afectar a las demás empresas de la muestra".</w:t>
            </w:r>
          </w:p>
        </w:tc>
      </w:tr>
      <w:tr w:rsidR="00A5241F" w:rsidRPr="00B72CCC" w14:paraId="04ED48E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80FA18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AB5A0F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5ED51B3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1179B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F7822A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7A4EC6B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0828EB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BAA962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Correcciones a la información de costos del Excel</w:t>
            </w:r>
          </w:p>
        </w:tc>
      </w:tr>
      <w:tr w:rsidR="00A5241F" w:rsidRPr="00B72CCC" w14:paraId="270F6EA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B2AE41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77D902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035896C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13B6C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D57FB83" w14:textId="6DABE0F1"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r>
              <w:rPr>
                <w:rFonts w:ascii="Arial" w:eastAsia="Times New Roman" w:hAnsi="Arial" w:cs="Arial"/>
                <w:color w:val="000000"/>
                <w:sz w:val="20"/>
                <w:szCs w:val="20"/>
                <w:lang w:val="es-CO" w:eastAsia="es-CO"/>
              </w:rPr>
              <w:t>5</w:t>
            </w:r>
          </w:p>
        </w:tc>
      </w:tr>
      <w:tr w:rsidR="00A5241F" w:rsidRPr="00B72CCC" w14:paraId="6C9E6AB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9DF18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E4733E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17</w:t>
            </w:r>
          </w:p>
        </w:tc>
      </w:tr>
      <w:tr w:rsidR="00A5241F" w:rsidRPr="00B72CCC" w14:paraId="4930747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47029B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DFC756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6E3806B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2F0CBB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AC477E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226CB7A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66B71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D8A6C6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25D6B98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CE698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CB2E3B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11A903D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972B0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775BA3D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45C4744" w14:textId="77777777" w:rsidTr="00A93BC7">
        <w:trPr>
          <w:trHeight w:val="175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05F4E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B90FD9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S.A. E.S.P., ha sido dejada por fuera del grupo base del DEA, debido a un error de transcripción en un solo registro, cometido durante la corrección del reporte a la variable "vertimientos de alcantarillado" para el año 2012.</w:t>
            </w:r>
            <w:r w:rsidRPr="00B72CCC">
              <w:rPr>
                <w:rFonts w:ascii="Arial" w:eastAsia="Times New Roman" w:hAnsi="Arial" w:cs="Arial"/>
                <w:color w:val="000000"/>
                <w:sz w:val="20"/>
                <w:szCs w:val="20"/>
                <w:lang w:val="es-CO" w:eastAsia="es-CO"/>
              </w:rPr>
              <w:br/>
              <w:t>A la luz de lo establecido en la norma, consideramos cumplida nuestra obligación como empresa de haber dado una explicación a las variables, todo lo cual fue posible verificar y ajustar de acuerdo a lo requerido por parte de la CRA, por lo que muy respetuosamente le manifestamos que no compartimos las apreciaciones de esa entidad, en el sentido que ello sea una causa justa para quedar por fuera del ejercicio del DEA".</w:t>
            </w:r>
          </w:p>
        </w:tc>
      </w:tr>
      <w:tr w:rsidR="00A5241F" w:rsidRPr="00B72CCC" w14:paraId="2E09BC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26E04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57614D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AFCC90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82A01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C44805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1FB0FC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B9AEB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470AF1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436946D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99252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93222A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88FD6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8CEEFC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5D1B168" w14:textId="0BF99AE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p>
        </w:tc>
      </w:tr>
      <w:tr w:rsidR="00A5241F" w:rsidRPr="00B72CCC" w14:paraId="0D9EB1F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11B054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Consecutivo</w:t>
            </w:r>
          </w:p>
        </w:tc>
        <w:tc>
          <w:tcPr>
            <w:tcW w:w="0" w:type="auto"/>
            <w:tcBorders>
              <w:top w:val="nil"/>
              <w:left w:val="nil"/>
              <w:bottom w:val="single" w:sz="4" w:space="0" w:color="auto"/>
              <w:right w:val="single" w:sz="4" w:space="0" w:color="auto"/>
            </w:tcBorders>
            <w:shd w:val="clear" w:color="000000" w:fill="BFBFBF"/>
            <w:vAlign w:val="bottom"/>
            <w:hideMark/>
          </w:tcPr>
          <w:p w14:paraId="54A65F3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18</w:t>
            </w:r>
          </w:p>
        </w:tc>
      </w:tr>
      <w:tr w:rsidR="00A5241F" w:rsidRPr="00B72CCC" w14:paraId="33D79B8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1D4DE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B42919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2D60E6D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1757B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308383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4D99C8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85095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7FC5429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46B2338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F9F189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357E3B3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54978C3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6E87C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45B7B5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61C426FF" w14:textId="77777777" w:rsidTr="00A93BC7">
        <w:trPr>
          <w:trHeight w:val="286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EB5BD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642E5D7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 importante recalcar que las empresas prestadoras hicieron notar que el procedimiento de revisión de la información del DEA no fue previamente establecido, ni se prevé en dicha norma la forma de verificar y corregir un error que en todo caso siempre puede presentarse. Además de esto, se debe tenerse en cuenta que las fechas establecidas, a criterio de la CRA, no tienen en consideración el hecho de que las "correcciones" no dependen exclusivamente del actuar de la misma CRA o de las Empresas reguladas, sino de un tercero, como es el caso de la Superintendencia de Servicios Públicos, quien habilitó las posibilidades de reversión después de las fechas establecidas por esa Comisión".</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Esta última situación deja en evidencia la imposibilidad material de la prestadora de servicios, de ajustarse a los términos inicialmente conferidos por la CRA, por circunstancias no atribuibles a la misma, y que, de ser desconocidas, implicaría el desconocimiento de sus derechos.</w:t>
            </w:r>
          </w:p>
        </w:tc>
      </w:tr>
      <w:tr w:rsidR="00A5241F" w:rsidRPr="00B72CCC" w14:paraId="1B1CA89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18E82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F8E8F4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39C40EA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7B4E4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6774CA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4C6BF0E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73567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0C9E53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67E26E8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404EFE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2C738C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61615F4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B640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EE0CE92" w14:textId="12B70160"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p>
        </w:tc>
      </w:tr>
      <w:tr w:rsidR="00A5241F" w:rsidRPr="00B72CCC" w14:paraId="646071D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90EF0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62E96E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19</w:t>
            </w:r>
          </w:p>
        </w:tc>
      </w:tr>
      <w:tr w:rsidR="00A5241F" w:rsidRPr="00B72CCC" w14:paraId="4099682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2FC0EF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AD7B72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64E4A7F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3E2B2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409BEA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338D37A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30CCCF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0D2084A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6E3239B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9DFF9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762A3C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283F256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DE4B8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604265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66DD37DB" w14:textId="77777777" w:rsidTr="00A93BC7">
        <w:trPr>
          <w:trHeight w:val="143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98AC5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BD2F3B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"El ajuste de errores por parte de las empresas a la información presentada en el SUI, no depende exclusivamente de las empresas prestadoras, pues la gran mayoría de variables que se cargan a dicho sistema, no pueden ser consultadas por parte de los prestadores, lo cual les dificulta verificar y corregir de manera oportuna la información registrada en el SUI, este es un tema que sin duda afecta el debido proceso. La información usada para el DEA no es la excepción a esta situación".</w:t>
            </w:r>
          </w:p>
        </w:tc>
      </w:tr>
      <w:tr w:rsidR="00A5241F" w:rsidRPr="00B72CCC" w14:paraId="3A39859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B4AE3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18B5B4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3AAC17B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C6C0A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22DAB05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1440D58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716384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A798DC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33791B1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4D35E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2B1A855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222E87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81110B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1BAB0F1" w14:textId="3A068BE0"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p>
        </w:tc>
      </w:tr>
      <w:tr w:rsidR="00A5241F" w:rsidRPr="00B72CCC" w14:paraId="3B3A5A6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3BF73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Consecutivo</w:t>
            </w:r>
          </w:p>
        </w:tc>
        <w:tc>
          <w:tcPr>
            <w:tcW w:w="0" w:type="auto"/>
            <w:tcBorders>
              <w:top w:val="nil"/>
              <w:left w:val="nil"/>
              <w:bottom w:val="single" w:sz="4" w:space="0" w:color="auto"/>
              <w:right w:val="single" w:sz="4" w:space="0" w:color="auto"/>
            </w:tcBorders>
            <w:shd w:val="clear" w:color="000000" w:fill="BFBFBF"/>
            <w:vAlign w:val="bottom"/>
            <w:hideMark/>
          </w:tcPr>
          <w:p w14:paraId="6786D8D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20</w:t>
            </w:r>
          </w:p>
        </w:tc>
      </w:tr>
      <w:tr w:rsidR="00A5241F" w:rsidRPr="00B72CCC" w14:paraId="53D7916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8AAB2C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79A41B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42C04E9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FF2BFD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EB577C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24E2DC5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6935C6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E4CD70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007D430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2B246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81FA15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11C8199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08019E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2D6EE15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F6905B4" w14:textId="77777777" w:rsidTr="00A93BC7">
        <w:trPr>
          <w:trHeight w:val="1516"/>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48B15F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6D6899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"La Resolución 287 de 2004 estableció la publicación de las variables del DEA anualmente para la futura corrida del modelo, lo cual debería servir para validar la calidad de la información, sin embargo, este proceso nunca se dio. Pasaron 11 años entre la expedición de la resolución anterior y el proceso de revisión de información para el nuevo DEA, el cual se inició en junio del 2015, con la solicitud de información completa a los prestadores de todas las variables del DEA, mediante formatos directos distintos al SUI, y recibida en nuestra empresa con N° de Radicado SSPD 20154210328661".</w:t>
            </w:r>
          </w:p>
        </w:tc>
      </w:tr>
      <w:tr w:rsidR="00A5241F" w:rsidRPr="00B72CCC" w14:paraId="3BFA0D2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0C856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A67D24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F97E91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2D6C56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4605B3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1C97E1B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1D5998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A6F583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Información SSPD</w:t>
            </w:r>
          </w:p>
        </w:tc>
      </w:tr>
      <w:tr w:rsidR="00A5241F" w:rsidRPr="00B72CCC" w14:paraId="53FA545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9BC039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CE1F82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7FD013F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581D1A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055349C" w14:textId="4A61E57E"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r>
              <w:rPr>
                <w:rFonts w:ascii="Arial" w:eastAsia="Times New Roman" w:hAnsi="Arial" w:cs="Arial"/>
                <w:color w:val="000000"/>
                <w:sz w:val="20"/>
                <w:szCs w:val="20"/>
                <w:lang w:val="es-CO" w:eastAsia="es-CO"/>
              </w:rPr>
              <w:t>7</w:t>
            </w:r>
          </w:p>
        </w:tc>
      </w:tr>
      <w:tr w:rsidR="00A5241F" w:rsidRPr="00B72CCC" w14:paraId="6607DF8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C9A0B7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CB7E63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21</w:t>
            </w:r>
          </w:p>
        </w:tc>
      </w:tr>
      <w:tr w:rsidR="00A5241F" w:rsidRPr="00B72CCC" w14:paraId="2BC52EB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16977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8BD287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5437139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9E477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128C5B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3D4EE81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FF7749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3401AB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3EC5FB3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2A272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72DB00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03619A6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43598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ECF57A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8401408" w14:textId="77777777" w:rsidTr="00C2275F">
        <w:trPr>
          <w:trHeight w:val="57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26E006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6111F064" w14:textId="2EBD47D2"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Las dificultades señaladas para la verificación de información presentada en el SUI, aún se siguen presentando y se enfrentaron durante el proceso de corrección de información para el DEA por parte de los prestadores</w:t>
            </w:r>
            <w:r w:rsidR="00C2275F">
              <w:rPr>
                <w:rFonts w:ascii="Arial" w:eastAsia="Times New Roman" w:hAnsi="Arial" w:cs="Arial"/>
                <w:color w:val="000000"/>
                <w:sz w:val="20"/>
                <w:szCs w:val="20"/>
                <w:lang w:val="es-CO" w:eastAsia="es-CO"/>
              </w:rPr>
              <w:t>.</w:t>
            </w:r>
          </w:p>
        </w:tc>
      </w:tr>
      <w:tr w:rsidR="00A5241F" w:rsidRPr="00B72CCC" w14:paraId="7FD5E7F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4D395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69EA96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96C6F0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30481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349988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7687778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EBEAD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89DBDC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4BC986EE" w14:textId="77777777" w:rsidTr="00C2275F">
        <w:trPr>
          <w:trHeight w:val="31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0255C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2A0BEE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4A35FDF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4A237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03F5F40" w14:textId="19559DD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146648">
              <w:rPr>
                <w:rFonts w:ascii="Arial" w:eastAsia="Times New Roman" w:hAnsi="Arial" w:cs="Arial"/>
                <w:color w:val="000000"/>
                <w:sz w:val="20"/>
                <w:szCs w:val="20"/>
                <w:lang w:val="es-CO" w:eastAsia="es-CO"/>
              </w:rPr>
              <w:t>RESPUESTA No.1</w:t>
            </w:r>
          </w:p>
        </w:tc>
      </w:tr>
      <w:tr w:rsidR="00A5241F" w:rsidRPr="00B72CCC" w14:paraId="5481BCB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45D570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BE0A75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22</w:t>
            </w:r>
          </w:p>
        </w:tc>
      </w:tr>
      <w:tr w:rsidR="00A5241F" w:rsidRPr="00B72CCC" w14:paraId="2476E5C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31336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4A8D295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3653807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05A36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FE1D92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5E39132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73FCF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8BB8DB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047BE84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EA09F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30C288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5EC3245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8A19A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D07C95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69ED002E" w14:textId="77777777" w:rsidTr="00E252FF">
        <w:trPr>
          <w:trHeight w:val="176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5531A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25DF78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Desde el inicio de este proceso de verificación, la CRA cuenta con las variables del DEA correctas por parte de la empresa, enviadas mediante el formato directo. El proceso de ajuste consistió en corregir en el SUI la información cargada con errores o inconsistencias, por ser el sistema oficial de información.</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"...nuestra empresa ha sido diligente y comprometida con la corrección de los errores identificados. Respecto al último y único error informó a tiempo a la Comisión de Regulación, en el período establecido para ello…"</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"Si bien, a la fecha de consulta que ustedes realizaron ante la Superintendencia de Servicios Públicos sobre las variables, el error no había sido corregido, se había ya informado sobre el mismo y solicitado la corrección a la SSPD, faltando solamente el trámite de la corrección"</w:t>
            </w:r>
          </w:p>
        </w:tc>
      </w:tr>
      <w:tr w:rsidR="00A5241F" w:rsidRPr="00B72CCC" w14:paraId="6E9EE13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42CC94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5321D6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B954F3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033E5C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20316F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DECFE5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0B9A2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A25F9C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04AF47D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E5694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703B7C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78BFAC8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6382B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B9B1D4C" w14:textId="38DE3E7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146648">
              <w:rPr>
                <w:rFonts w:ascii="Arial" w:eastAsia="Times New Roman" w:hAnsi="Arial" w:cs="Arial"/>
                <w:color w:val="000000"/>
                <w:sz w:val="20"/>
                <w:szCs w:val="20"/>
                <w:lang w:val="es-CO" w:eastAsia="es-CO"/>
              </w:rPr>
              <w:t>RESPUESTA No.1</w:t>
            </w:r>
          </w:p>
        </w:tc>
      </w:tr>
      <w:tr w:rsidR="00A5241F" w:rsidRPr="00B72CCC" w14:paraId="049A8DC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C4A683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D8C25F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23</w:t>
            </w:r>
          </w:p>
        </w:tc>
      </w:tr>
      <w:tr w:rsidR="00A5241F" w:rsidRPr="00B72CCC" w14:paraId="1D10DE2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83D61D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5DFFD9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4630296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B26620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A8B1EF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6DE6B4C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B0FA1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077C5A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3C32593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B2A5C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E8E17C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72E1C8A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295C13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7621345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566B7DD5" w14:textId="77777777" w:rsidTr="00E252FF">
        <w:trPr>
          <w:trHeight w:val="154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ADB301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5D0CD9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"Durante el proceso del DEA se cambiaron algunos reportes por otros (comerciales), y es durante este nuevo ejercicio que se comete el error en el registro de una sola variable. No es posible entonces concluir que hubo negligencia, desinterés o mala intención por parte de nuestra empresa en el reporte o corrección de la información en el SUI que amerite la imposición de la tan gravosa sanción impuesta indirectamente en la regulación, frente a los prestadores que, a la fecha establecida, no hubieren reportado la información completa al SUI".</w:t>
            </w:r>
          </w:p>
        </w:tc>
      </w:tr>
      <w:tr w:rsidR="00A5241F" w:rsidRPr="00B72CCC" w14:paraId="4C793F2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C730C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8A6A79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F57C1A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277899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EE62CF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41F7AA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4AD90F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19F377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615A216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B0B83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49849F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3AF0A80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9BF7D3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233DEA2" w14:textId="7938612A"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p>
        </w:tc>
      </w:tr>
      <w:tr w:rsidR="00A5241F" w:rsidRPr="00B72CCC" w14:paraId="6312422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6B9AD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4210D9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24</w:t>
            </w:r>
          </w:p>
        </w:tc>
      </w:tr>
      <w:tr w:rsidR="00A5241F" w:rsidRPr="00B72CCC" w14:paraId="3094405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E7FA64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21AFE2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18D9C2A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275D36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D3AEE6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7D3F25F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50D98E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5B0732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279DFC7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9F68E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088B53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56EADCF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2EA4A9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213DB23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22E7E1B" w14:textId="77777777" w:rsidTr="00E252FF">
        <w:trPr>
          <w:trHeight w:val="158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B2AF82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0A7E812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"Valga decir que se entiende que el análisis de toda la información de la empresa, busca confirmar que los datos que entrarán al modelo son correctos y consistentes, considerando el efecto que pueden tener sobre los resultados de ésta y las otras empresas del grupo base para el ejercicio. Pero hay que tener en cuenta que el error de transcripción que nos ocupa, no ocurrió sobre ninguna de las variables que utiliza el modelo en los cálculos, por manera que no resultaría ningún riesgo el incorporar a AGUAS DE CARTAGENA S.A. E.S.P. al grupo base".</w:t>
            </w:r>
          </w:p>
        </w:tc>
      </w:tr>
      <w:tr w:rsidR="00A5241F" w:rsidRPr="00B72CCC" w14:paraId="7BAC4DA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A894B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2A5E388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A2E8C0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2C67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E96CC7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766C9C3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BFD01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7A029B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615EC0E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B1717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55B0F1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7C773C3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B1BCFD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4502189E" w14:textId="0D5C185E"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p>
        </w:tc>
      </w:tr>
      <w:tr w:rsidR="00A5241F" w:rsidRPr="00B72CCC" w14:paraId="6549576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4EDE0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3DA7B14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25</w:t>
            </w:r>
          </w:p>
        </w:tc>
      </w:tr>
      <w:tr w:rsidR="00A5241F" w:rsidRPr="00B72CCC" w14:paraId="7F8E6DC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9ABA78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94678A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7810940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15B1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93F9A5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5AFDD5A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F0BD8F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749032E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1BFC10E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FB678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5BF6E6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72FB9F3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0216E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DA44BC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CDAE5BC" w14:textId="77777777" w:rsidTr="00E252FF">
        <w:trPr>
          <w:trHeight w:val="176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186C0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55F5416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"Debe considerarse también que la exclusión de la empresa, además del impacto sobre sus propios resultados, podría tener efectos sobre los demás prestadores, por la forma en que opera matemáticamente el modelo DEA, por lo cual no parece tener mucho sentido económico su exclusión, si se considera que esta cumple con todos los requisitos de fondo para estar incorporada en el grupo referente. En los principios de definición de costos y tarifas contenidos en el Artículo 87 de la Ley 142 se encuentra el de suficiencia financiera. El modelo del DEA es más robusto matemática y regulatoriamente, cuando se incluyen más empresas en la muestra".</w:t>
            </w:r>
          </w:p>
        </w:tc>
      </w:tr>
      <w:tr w:rsidR="00A5241F" w:rsidRPr="00B72CCC" w14:paraId="53A7197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4AC248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4B032B7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5301E39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88F4F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3D2BC3C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2B0B5B9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85B45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4664FB5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72B56DC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DC4F2D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7A5E7A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E875C5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4233C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47C93F1F" w14:textId="1B461021"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146648">
              <w:rPr>
                <w:rFonts w:ascii="Arial" w:eastAsia="Times New Roman" w:hAnsi="Arial" w:cs="Arial"/>
                <w:color w:val="000000"/>
                <w:sz w:val="20"/>
                <w:szCs w:val="20"/>
                <w:lang w:val="es-CO" w:eastAsia="es-CO"/>
              </w:rPr>
              <w:t>RESPUESTA No.1</w:t>
            </w:r>
          </w:p>
        </w:tc>
      </w:tr>
      <w:tr w:rsidR="00A5241F" w:rsidRPr="00B72CCC" w14:paraId="78F0567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EDFB1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39C5EBB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26</w:t>
            </w:r>
          </w:p>
        </w:tc>
      </w:tr>
      <w:tr w:rsidR="00A5241F" w:rsidRPr="00B72CCC" w14:paraId="410AB0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33148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DA6BF6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013BD98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227103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FA6E8C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32B0DF0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013F5D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8CB19F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3841C86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69848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90F3A7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4DC33FF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EB12E7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7E4F92E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41CFAC40" w14:textId="77777777" w:rsidTr="00E252FF">
        <w:trPr>
          <w:trHeight w:val="116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79F2C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1F635C1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"Entendemos que la CRA enfatiza el hecho de haber cometido un error de transcripción, pero también es necesario considerar el desproporcionado impacto financiero que puede tener la consecuencia que se ha impuesto sobre nuestra empresa, el cual no es de ninguna manera proporcional al tamaño de la falta cometida, que en todo caso fue informada por nosotros y oportunamente corregida".</w:t>
            </w:r>
          </w:p>
        </w:tc>
      </w:tr>
      <w:tr w:rsidR="00A5241F" w:rsidRPr="00B72CCC" w14:paraId="465D8F7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0FF64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A68ED1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EFB7CC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E565DF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226099D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9BBB10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EF327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370CED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67022EB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082FF6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C8C220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220666E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9C66B4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C0DA1D6" w14:textId="7D340BA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p>
        </w:tc>
      </w:tr>
      <w:tr w:rsidR="00A5241F" w:rsidRPr="00B72CCC" w14:paraId="6841CA0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A7B0A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3E30914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27</w:t>
            </w:r>
          </w:p>
        </w:tc>
      </w:tr>
      <w:tr w:rsidR="00A5241F" w:rsidRPr="00B72CCC" w14:paraId="310CCB6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EF1213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4394730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1F9B4AF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2E3E05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0B21829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327AC4F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397F8D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183132E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19F333B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AE3645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708E30C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33AA109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212D3A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74EC36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1366DAA" w14:textId="77777777" w:rsidTr="00E252FF">
        <w:trPr>
          <w:trHeight w:val="190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4A6A9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7E7C32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"La ley en Colombia exige un trato igualitario para todos y cada uno de los prestadores a la base del DEA, por lo cual la exclusión o inclusión de prestadores debe haberse regido estrictamente por los mismos principios y criterios. Entendiendo la premura de culminar un aspecto del marco tarifario que ha estado pendiente durante todo el período de discusión, nos preguntamos en este punto, qué falta para corregir la muestra que fue inicialmente diseñada, y los efectos de haber excluido a 13 de las 22 empresas publicadas en la norma original, y si se han adelantado análisis sobre las etapas de este proceso que dificultaron completar la muestra".</w:t>
            </w:r>
          </w:p>
        </w:tc>
      </w:tr>
      <w:tr w:rsidR="00A5241F" w:rsidRPr="00B72CCC" w14:paraId="481F2A2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19B29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4E59F5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1D2CB86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A021C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03D5D3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6D854D8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AB299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C66C44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746C199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DFD386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669659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1997B9C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21EA2B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1C559091" w14:textId="1015BABC"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p>
        </w:tc>
      </w:tr>
      <w:tr w:rsidR="00A5241F" w:rsidRPr="00B72CCC" w14:paraId="318D3EA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CBFF75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B80A6D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28</w:t>
            </w:r>
          </w:p>
        </w:tc>
      </w:tr>
      <w:tr w:rsidR="00A5241F" w:rsidRPr="00B72CCC" w14:paraId="7500114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2AA520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B18E46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1955A22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A4797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6D375A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1D6E122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3B3A4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C380D9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2FE0F33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2BA3F4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E1A3E9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64C06F6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3E03BB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2C5F72B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5B1F6D9B" w14:textId="77777777" w:rsidTr="00C2275F">
        <w:trPr>
          <w:trHeight w:val="51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57FBB7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504751F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"...de manera atenta solicitamos considerar las fundadas razones planteadas en la presente comunicación para incluir a AGUAS DE CARTAGENA S.A. E.S.P. en la muestra de prestadores…"</w:t>
            </w:r>
          </w:p>
        </w:tc>
      </w:tr>
      <w:tr w:rsidR="00A5241F" w:rsidRPr="00B72CCC" w14:paraId="284EDA7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FBCB21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50913F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E61691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20FAB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Tipo de Consulta</w:t>
            </w:r>
          </w:p>
        </w:tc>
        <w:tc>
          <w:tcPr>
            <w:tcW w:w="0" w:type="auto"/>
            <w:tcBorders>
              <w:top w:val="nil"/>
              <w:left w:val="nil"/>
              <w:bottom w:val="single" w:sz="4" w:space="0" w:color="auto"/>
              <w:right w:val="single" w:sz="4" w:space="0" w:color="auto"/>
            </w:tcBorders>
            <w:shd w:val="clear" w:color="auto" w:fill="auto"/>
            <w:vAlign w:val="bottom"/>
            <w:hideMark/>
          </w:tcPr>
          <w:p w14:paraId="303F7B1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6D41482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A093B0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F2A1A5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006A62E3" w14:textId="77777777" w:rsidTr="00C2275F">
        <w:trPr>
          <w:trHeight w:val="41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C7AFEF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59496D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196F58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C60503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65F23F32" w14:textId="18D5521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No.1</w:t>
            </w:r>
          </w:p>
        </w:tc>
      </w:tr>
      <w:tr w:rsidR="00A5241F" w:rsidRPr="00B72CCC" w14:paraId="7371AC7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F9424C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152E03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29</w:t>
            </w:r>
          </w:p>
        </w:tc>
      </w:tr>
      <w:tr w:rsidR="00A5241F" w:rsidRPr="00B72CCC" w14:paraId="1FF2F5D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F1904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0386E7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50103F8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CE29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E26582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30EBC14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62385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5177B8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513D2CC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F63116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769F1D8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6F01277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2EB62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B26EA8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65CFFFAD" w14:textId="77777777" w:rsidTr="00B72CCC">
        <w:trPr>
          <w:trHeight w:val="600"/>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54174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70E2C8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"proceder a validar los posibles errores conceptuales en la corrida del modelo de conformidad con lo ya planteado por el Gremio"</w:t>
            </w:r>
          </w:p>
        </w:tc>
      </w:tr>
      <w:tr w:rsidR="00A5241F" w:rsidRPr="00B72CCC" w14:paraId="29B9963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790839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E15E9D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9C7E47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C5324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B265CE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3D2E951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494601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B36B79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30CA775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198C4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226AD1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1BD32F2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251ECD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BF908CA" w14:textId="62AD3193"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F81DD3">
              <w:rPr>
                <w:rFonts w:ascii="Arial" w:eastAsia="Times New Roman" w:hAnsi="Arial" w:cs="Arial"/>
                <w:color w:val="000000"/>
                <w:sz w:val="20"/>
                <w:szCs w:val="20"/>
                <w:lang w:val="es-CO" w:eastAsia="es-CO"/>
              </w:rPr>
              <w:t>RESPUESTA No.3</w:t>
            </w:r>
          </w:p>
        </w:tc>
      </w:tr>
      <w:tr w:rsidR="00A5241F" w:rsidRPr="00B72CCC" w14:paraId="3CCEE3C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FC5027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3FBC55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30</w:t>
            </w:r>
          </w:p>
        </w:tc>
      </w:tr>
      <w:tr w:rsidR="00A5241F" w:rsidRPr="00B72CCC" w14:paraId="481E1F2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8058AE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7AECDE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20173210045962</w:t>
            </w:r>
          </w:p>
        </w:tc>
      </w:tr>
      <w:tr w:rsidR="00A5241F" w:rsidRPr="00B72CCC" w14:paraId="24466CE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9D641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F15D9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11 de mayo de 2017</w:t>
            </w:r>
          </w:p>
        </w:tc>
      </w:tr>
      <w:tr w:rsidR="00A5241F" w:rsidRPr="00B72CCC" w14:paraId="5253CAC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CCAC7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130217B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Aguas de Cartagena - ACUACAR S.A.E.S.P.</w:t>
            </w:r>
          </w:p>
        </w:tc>
      </w:tr>
      <w:tr w:rsidR="00A5241F" w:rsidRPr="00B72CCC" w14:paraId="7BFD7DD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397EAB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614834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Cartagena</w:t>
            </w:r>
          </w:p>
        </w:tc>
      </w:tr>
      <w:tr w:rsidR="00A5241F" w:rsidRPr="00B72CCC" w14:paraId="2A50CF3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D126F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0D018B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4B8733A9" w14:textId="77777777" w:rsidTr="008B2F55">
        <w:trPr>
          <w:trHeight w:val="69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2952C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415A980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en caso de no acceder a lo solicitado, proceder a establecer plazos de aplicación que permitan adelantar los procesos particulares para la fijación del DEA, sin que la aplicación de la medida afecte injustamente la suficiencia financiera de la empresa..."</w:t>
            </w:r>
          </w:p>
        </w:tc>
      </w:tr>
      <w:tr w:rsidR="00A5241F" w:rsidRPr="00B72CCC" w14:paraId="2AFC5D1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D5C28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4F953AC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0A3CBA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8C778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DD1472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7AAF318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6C9BF9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64C87EA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Plazo para el cálculo del DEA de los que no hacen parte del grupo básico</w:t>
            </w:r>
          </w:p>
        </w:tc>
      </w:tr>
      <w:tr w:rsidR="00A5241F" w:rsidRPr="00B72CCC" w14:paraId="2E84DF7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0C84C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14E93B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7CE7113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7EB7B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A5AEA9B" w14:textId="365263EE"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977ED" w:rsidRPr="00146648">
              <w:rPr>
                <w:rFonts w:ascii="Arial" w:eastAsia="Times New Roman" w:hAnsi="Arial" w:cs="Arial"/>
                <w:color w:val="000000"/>
                <w:sz w:val="20"/>
                <w:szCs w:val="20"/>
                <w:lang w:val="es-CO" w:eastAsia="es-CO"/>
              </w:rPr>
              <w:t>RESPUESTA No.1</w:t>
            </w:r>
            <w:r w:rsidR="005977ED">
              <w:rPr>
                <w:rFonts w:ascii="Arial" w:eastAsia="Times New Roman" w:hAnsi="Arial" w:cs="Arial"/>
                <w:color w:val="000000"/>
                <w:sz w:val="20"/>
                <w:szCs w:val="20"/>
                <w:lang w:val="es-CO" w:eastAsia="es-CO"/>
              </w:rPr>
              <w:t>4</w:t>
            </w:r>
          </w:p>
        </w:tc>
      </w:tr>
      <w:tr w:rsidR="00A5241F" w:rsidRPr="00B72CCC" w14:paraId="7FA3ACF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8BCA0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8D1B1E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31</w:t>
            </w:r>
          </w:p>
        </w:tc>
      </w:tr>
      <w:tr w:rsidR="00A5241F" w:rsidRPr="00B72CCC" w14:paraId="2ECA67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52F275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D061E6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20173210046022</w:t>
            </w:r>
          </w:p>
        </w:tc>
      </w:tr>
      <w:tr w:rsidR="00A5241F" w:rsidRPr="00B72CCC" w14:paraId="2E32D53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5F68D7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E9ED3D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12 de mayo de 2017</w:t>
            </w:r>
          </w:p>
        </w:tc>
      </w:tr>
      <w:tr w:rsidR="00A5241F" w:rsidRPr="00B72CCC" w14:paraId="2C5BF38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2AC2F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687A1E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649AC4C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E99D07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Ciudad</w:t>
            </w:r>
          </w:p>
        </w:tc>
        <w:tc>
          <w:tcPr>
            <w:tcW w:w="0" w:type="auto"/>
            <w:tcBorders>
              <w:top w:val="nil"/>
              <w:left w:val="nil"/>
              <w:bottom w:val="single" w:sz="4" w:space="0" w:color="auto"/>
              <w:right w:val="single" w:sz="4" w:space="0" w:color="auto"/>
            </w:tcBorders>
            <w:shd w:val="clear" w:color="auto" w:fill="auto"/>
            <w:vAlign w:val="bottom"/>
            <w:hideMark/>
          </w:tcPr>
          <w:p w14:paraId="4DDE4F7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53F49C5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7C8DA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5539E8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5EE4B7CC" w14:textId="77777777" w:rsidTr="003302C2">
        <w:trPr>
          <w:trHeight w:val="163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1EC1D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900630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"La primera tiene que ver con la aplicación del diseño conceptual para el tratamiento y la forma de entrada de las variables al modelo, el cual a nuestro juicio no recoge lo establecido en la Resolución CRA 688 de 2014, ni las condiciones naturales de la prestación del servicio de acueducto y alcantarillado que fueron reconocidas desde la Resolución CRA 287 de 2004. Esta situación está generando unos impactos no menores, que pueden repercutir en la prestación del servicio, especialmente al tener que aplicarse los menores valores para los componentes CAU y COU para aquellas compañías que no hacen parte de la muestra"</w:t>
            </w:r>
          </w:p>
        </w:tc>
      </w:tr>
      <w:tr w:rsidR="00A5241F" w:rsidRPr="00B72CCC" w14:paraId="53505D9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76BF14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314781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D25490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D22D25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BEBB90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7D52EB5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709B4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D0253B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4C2E635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11B9AE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B13A85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36EF294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AA5772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8D96472" w14:textId="312BCA5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3302C2">
              <w:rPr>
                <w:rFonts w:ascii="Arial" w:eastAsia="Times New Roman" w:hAnsi="Arial" w:cs="Arial"/>
                <w:color w:val="000000"/>
                <w:sz w:val="20"/>
                <w:szCs w:val="20"/>
                <w:lang w:val="es-CO" w:eastAsia="es-CO"/>
              </w:rPr>
              <w:t>RESPUESTA No.3</w:t>
            </w:r>
          </w:p>
        </w:tc>
      </w:tr>
      <w:tr w:rsidR="00A5241F" w:rsidRPr="00B72CCC" w14:paraId="57869D8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0E732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564CFD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32</w:t>
            </w:r>
          </w:p>
        </w:tc>
      </w:tr>
      <w:tr w:rsidR="00A5241F" w:rsidRPr="00B72CCC" w14:paraId="5779F3F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25570B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2D243A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20173210046022</w:t>
            </w:r>
          </w:p>
        </w:tc>
      </w:tr>
      <w:tr w:rsidR="00A5241F" w:rsidRPr="00B72CCC" w14:paraId="46F012D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C925C6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5F0837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12 de mayo de 2017</w:t>
            </w:r>
          </w:p>
        </w:tc>
      </w:tr>
      <w:tr w:rsidR="00A5241F" w:rsidRPr="00B72CCC" w14:paraId="388C5F4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30ECAA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981EDC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749212D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C2F680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1B5BFF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13F972C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2EA819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97AB83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7EFA1848" w14:textId="77777777" w:rsidTr="00E014C0">
        <w:trPr>
          <w:trHeight w:val="46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3B494C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1BD873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"...existe incertidumbre sobre la uniformidad de criterios utilizados por las empresas para realizar las exclusiones, inclusiones, traslados y distribución de costos para determinar los valores sometidos a comparación. A nuestro modo de ver, es importante eliminar las posibles distorsiones por el tratamiento a la información contable, de manera que podamos contar con parámetros más uniformes para efectos del ejercicio"</w:t>
            </w:r>
          </w:p>
        </w:tc>
      </w:tr>
      <w:tr w:rsidR="00A5241F" w:rsidRPr="00B72CCC" w14:paraId="33ED11B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827C4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7E6FFB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858B77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CD1AC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F883B5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6FD3048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E843C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42130C7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Verificación de las exclusiones e inclusiones que hicieron las empresas</w:t>
            </w:r>
          </w:p>
        </w:tc>
      </w:tr>
      <w:tr w:rsidR="00A5241F" w:rsidRPr="00B72CCC" w14:paraId="792555D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60B4B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200861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6829366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5AA3A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845C87D" w14:textId="19D49C23"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E014C0" w:rsidRPr="00146648">
              <w:rPr>
                <w:rFonts w:ascii="Arial" w:eastAsia="Times New Roman" w:hAnsi="Arial" w:cs="Arial"/>
                <w:color w:val="000000"/>
                <w:sz w:val="20"/>
                <w:szCs w:val="20"/>
                <w:lang w:val="es-CO" w:eastAsia="es-CO"/>
              </w:rPr>
              <w:t>RESPUESTA No.1</w:t>
            </w:r>
            <w:r w:rsidR="00E014C0">
              <w:rPr>
                <w:rFonts w:ascii="Arial" w:eastAsia="Times New Roman" w:hAnsi="Arial" w:cs="Arial"/>
                <w:color w:val="000000"/>
                <w:sz w:val="20"/>
                <w:szCs w:val="20"/>
                <w:lang w:val="es-CO" w:eastAsia="es-CO"/>
              </w:rPr>
              <w:t>1</w:t>
            </w:r>
          </w:p>
        </w:tc>
      </w:tr>
      <w:tr w:rsidR="00A5241F" w:rsidRPr="00B72CCC" w14:paraId="6674EB6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19FDB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026401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33</w:t>
            </w:r>
          </w:p>
        </w:tc>
      </w:tr>
      <w:tr w:rsidR="00A5241F" w:rsidRPr="00B72CCC" w14:paraId="6B7DB57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77815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9AAE0C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20173210046022</w:t>
            </w:r>
          </w:p>
        </w:tc>
      </w:tr>
      <w:tr w:rsidR="00A5241F" w:rsidRPr="00B72CCC" w14:paraId="19406D8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A67BA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DE29A2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12 de mayo de 2017</w:t>
            </w:r>
          </w:p>
        </w:tc>
      </w:tr>
      <w:tr w:rsidR="00A5241F" w:rsidRPr="00B72CCC" w14:paraId="3C803C3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B6F06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03215E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6D80FC2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93651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179941E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0E76CBE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8562C7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CF502B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6B408444" w14:textId="77777777" w:rsidTr="00E014C0">
        <w:trPr>
          <w:trHeight w:val="12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E791C1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737303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"...solicitamos respetuosamente se revise la posibilidad de ampliar el período de participación ciudadana propuesto en la Resolución CRA 791, de manera que podamos </w:t>
            </w:r>
            <w:r w:rsidRPr="00B72CCC">
              <w:rPr>
                <w:rFonts w:ascii="Arial" w:eastAsia="Times New Roman" w:hAnsi="Arial" w:cs="Arial"/>
                <w:color w:val="000000"/>
                <w:sz w:val="20"/>
                <w:szCs w:val="20"/>
                <w:lang w:val="es-CO" w:eastAsia="es-CO"/>
              </w:rPr>
              <w:lastRenderedPageBreak/>
              <w:t>contar con suficiente tiempo para ilustrar y debatir desde el punto de vista técnico todos las consideraciones entorno al modelo..."</w:t>
            </w:r>
          </w:p>
        </w:tc>
      </w:tr>
      <w:tr w:rsidR="00A5241F" w:rsidRPr="00B72CCC" w14:paraId="4A0F740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51F14F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47365A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82783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DE44CB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A6036E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4B40E13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EEAC7D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0006C2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Ampliación del plazo de participación ciudadana</w:t>
            </w:r>
          </w:p>
        </w:tc>
      </w:tr>
      <w:tr w:rsidR="00A5241F" w:rsidRPr="00B72CCC" w14:paraId="5DC6AA5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0DC44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23030A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41EE7C6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980BBB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4AAF4B74" w14:textId="57DEE009"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D92E34" w:rsidRPr="00146648">
              <w:rPr>
                <w:rFonts w:ascii="Arial" w:eastAsia="Times New Roman" w:hAnsi="Arial" w:cs="Arial"/>
                <w:color w:val="000000"/>
                <w:sz w:val="20"/>
                <w:szCs w:val="20"/>
                <w:lang w:val="es-CO" w:eastAsia="es-CO"/>
              </w:rPr>
              <w:t>RESPUESTA No.1</w:t>
            </w:r>
            <w:r w:rsidR="00D92E34">
              <w:rPr>
                <w:rFonts w:ascii="Arial" w:eastAsia="Times New Roman" w:hAnsi="Arial" w:cs="Arial"/>
                <w:color w:val="000000"/>
                <w:sz w:val="20"/>
                <w:szCs w:val="20"/>
                <w:lang w:val="es-CO" w:eastAsia="es-CO"/>
              </w:rPr>
              <w:t>2</w:t>
            </w:r>
          </w:p>
        </w:tc>
      </w:tr>
      <w:tr w:rsidR="00A5241F" w:rsidRPr="00B72CCC" w14:paraId="4F74AE5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5275E6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25D46E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34</w:t>
            </w:r>
          </w:p>
        </w:tc>
      </w:tr>
      <w:tr w:rsidR="00A5241F" w:rsidRPr="00B72CCC" w14:paraId="6E6CB5F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A51AEA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AA5319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20173210046022</w:t>
            </w:r>
          </w:p>
        </w:tc>
      </w:tr>
      <w:tr w:rsidR="00A5241F" w:rsidRPr="00B72CCC" w14:paraId="7CD69C4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8E8AF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067620D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12 de mayo de 2017</w:t>
            </w:r>
          </w:p>
        </w:tc>
      </w:tr>
      <w:tr w:rsidR="00A5241F" w:rsidRPr="00B72CCC" w14:paraId="4AB61A9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36A7F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BD6638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2C4CF39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273B8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723324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696EBF5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F2A806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3C8C323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7ADE23AF" w14:textId="77777777" w:rsidTr="00EB1E5C">
        <w:trPr>
          <w:trHeight w:val="172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B0681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297211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"...observamos que los artículos 6 y 9 del proyecto de norma claramente incluyen modificaciones de la fórmula de cálculo de la variable CAU de que trata el artículo 25 de la Resolución CRA 688 de 2014, así como de la variable COU de que trata el artículo 32 de la resolución en mención. Tratándose de proyectos de resolución que modifican las fórmulas tarifarias con vigencia mínima de 5 años, el Decreto 1077 de 2016, en su artículo 2.3.6.3.3.11, prevé plazos de discusión directa del proyecto de norma superiores a los considerados en el proyecto de Resolución CRA 791 de 2017, por lo que respetuosamente solicitamos a la Comisión revisar la conformidad de dichos plazos con las normas referidas"</w:t>
            </w:r>
          </w:p>
        </w:tc>
      </w:tr>
      <w:tr w:rsidR="00A5241F" w:rsidRPr="00B72CCC" w14:paraId="5E9BA10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0BDBB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CF92F6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7C1AE2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7CC4D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349809E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7EC7E8C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C43CF7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007AB6E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Ajuste a la fórmula tarifaria</w:t>
            </w:r>
          </w:p>
        </w:tc>
      </w:tr>
      <w:tr w:rsidR="00A5241F" w:rsidRPr="00B72CCC" w14:paraId="0BFE852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39F5D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899B69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4F59822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E46781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079E52B" w14:textId="32700491"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EB1E5C">
              <w:rPr>
                <w:rFonts w:ascii="Arial" w:eastAsia="Times New Roman" w:hAnsi="Arial" w:cs="Arial"/>
                <w:color w:val="000000"/>
                <w:sz w:val="20"/>
                <w:szCs w:val="20"/>
                <w:lang w:val="es-CO" w:eastAsia="es-CO"/>
              </w:rPr>
              <w:t>RESPUESTA No.8</w:t>
            </w:r>
          </w:p>
        </w:tc>
      </w:tr>
      <w:tr w:rsidR="00A5241F" w:rsidRPr="00B72CCC" w14:paraId="6412A95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E302B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AEBD33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35</w:t>
            </w:r>
          </w:p>
        </w:tc>
      </w:tr>
      <w:tr w:rsidR="00A5241F" w:rsidRPr="00B72CCC" w14:paraId="5C271B8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F6551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72AB32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20173210046022</w:t>
            </w:r>
          </w:p>
        </w:tc>
      </w:tr>
      <w:tr w:rsidR="00A5241F" w:rsidRPr="00B72CCC" w14:paraId="2B88DE6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357233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0EFD34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12 de mayo de 2017</w:t>
            </w:r>
          </w:p>
        </w:tc>
      </w:tr>
      <w:tr w:rsidR="00A5241F" w:rsidRPr="00B72CCC" w14:paraId="0BADF4C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C9C5B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3B2568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7B31EB5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B941C3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C0AF3A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3CCEDE3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51E3FB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348065D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06E69F49" w14:textId="77777777" w:rsidTr="005D2990">
        <w:trPr>
          <w:trHeight w:val="307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72EBA6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06B272B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"...en la sesión también señalamos que los tiempos asociados a la expedición de los puntajes de eficiencia comparativa y al modelo de verificación tarifario expedido por la Superservicios, no están armonizados con el plazo previsto en el artículo 39 de la Resolución CRA 783 de 2017 para la modificación de costos económicos de referencia por grave error de cálculo. Ante esta realidad un prestador no podrá acudir al mecanismo de modificación previsto en la norma, hecho que consideramos inconveniente pues se trata de un instrumento valioso de gestión que reconoce la posibilidad de error al aplicar las metodologías tarifarias".</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"...Como resultado de los plazos previstos, es posible que una Empresa, que dentro de las fechas previstas por el régimen de excepción que plantea la Resolución CRA 783, corrija graves errores de cálculo, encuentre nuevos ajustes a realizar a sus costos de referencia como resultado de los procesos de cargue al SURICATA. Esta Empresa no podría recurrir, para corregirlos, al mecanismo previsto en la Resolución 783. Por lo anterior, solicitamos de manera respetuosa aplace la fecha límite prevista en el artículo 39 de la citada resolución, de tal forma que las empresas prestadoras puedan hacer uso de esta novedosa herramienta definida por la CRA..."</w:t>
            </w:r>
          </w:p>
        </w:tc>
      </w:tr>
      <w:tr w:rsidR="00A5241F" w:rsidRPr="00B72CCC" w14:paraId="33C41A5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7962B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43CD3DA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EF0AD6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329B0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17209D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45FCC48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2397E5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2B0DC3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OTROS / Res CRA 783 de 2016</w:t>
            </w:r>
          </w:p>
        </w:tc>
      </w:tr>
      <w:tr w:rsidR="00A5241F" w:rsidRPr="00B72CCC" w14:paraId="7A4BA35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0B6E3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A91112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NO APLICA</w:t>
            </w:r>
          </w:p>
        </w:tc>
      </w:tr>
      <w:tr w:rsidR="00A5241F" w:rsidRPr="00B72CCC" w14:paraId="254484F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2C7085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6897DEA0" w14:textId="66E8F483"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D2990" w:rsidRPr="00146648">
              <w:rPr>
                <w:rFonts w:ascii="Arial" w:eastAsia="Times New Roman" w:hAnsi="Arial" w:cs="Arial"/>
                <w:color w:val="000000"/>
                <w:sz w:val="20"/>
                <w:szCs w:val="20"/>
                <w:lang w:val="es-CO" w:eastAsia="es-CO"/>
              </w:rPr>
              <w:t>RESPUESTA No.1</w:t>
            </w:r>
            <w:r w:rsidR="005D2990">
              <w:rPr>
                <w:rFonts w:ascii="Arial" w:eastAsia="Times New Roman" w:hAnsi="Arial" w:cs="Arial"/>
                <w:color w:val="000000"/>
                <w:sz w:val="20"/>
                <w:szCs w:val="20"/>
                <w:lang w:val="es-CO" w:eastAsia="es-CO"/>
              </w:rPr>
              <w:t>6</w:t>
            </w:r>
          </w:p>
        </w:tc>
      </w:tr>
      <w:tr w:rsidR="00A5241F" w:rsidRPr="00B72CCC" w14:paraId="0F33A33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AE576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B5B78B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36</w:t>
            </w:r>
          </w:p>
        </w:tc>
      </w:tr>
      <w:tr w:rsidR="00A5241F" w:rsidRPr="00B72CCC" w14:paraId="50D8F81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09ED9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6ECADE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20173210046022</w:t>
            </w:r>
          </w:p>
        </w:tc>
      </w:tr>
      <w:tr w:rsidR="00A5241F" w:rsidRPr="00B72CCC" w14:paraId="560BF42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B1B35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23AD50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12 de mayo de 2017</w:t>
            </w:r>
          </w:p>
        </w:tc>
      </w:tr>
      <w:tr w:rsidR="00A5241F" w:rsidRPr="00B72CCC" w14:paraId="65A10DF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3A2E22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AC9AA8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6427C7F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A254C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49C885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6E4975D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52F8F2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C9369A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58773ABD" w14:textId="77777777" w:rsidTr="005D2990">
        <w:trPr>
          <w:trHeight w:val="142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39FC3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28CA3D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"...En relación al modelo de verificación tarifaria, hemos encontrado que la configuración no atiende todas las consideraciones expuestas en la regulación tarifaria, y que por tanto, existirán diferencias entre los resultados que obtengan la Superservicios y los definidos por los prestadores. Una de las principales preocupaciones radica en la acotación en el número de decimales que por defecto contempla el modelo, lo cual de entrada generará diferencias. Si bien hemos manifestado estas consideraciones a la entidad, nos preocupa la incertidumbre sobre la condición que tendrán las tarifas provenientes del modelo tarifario de control de la Superservicios, frente a las resultantes de los modelos empleados por las empresas..."</w:t>
            </w:r>
          </w:p>
        </w:tc>
      </w:tr>
      <w:tr w:rsidR="00A5241F" w:rsidRPr="00B72CCC" w14:paraId="03E6B6A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1153C4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6B54A0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6F0FA5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4FA0E0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7F8982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58C024F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BF9E1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3218A3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OTROS / Res CRA 783 de 2016</w:t>
            </w:r>
          </w:p>
        </w:tc>
      </w:tr>
      <w:tr w:rsidR="00A5241F" w:rsidRPr="00B72CCC" w14:paraId="2A51545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E57E2E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CA8FF2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NO APLICA</w:t>
            </w:r>
          </w:p>
        </w:tc>
      </w:tr>
      <w:tr w:rsidR="00A5241F" w:rsidRPr="00B72CCC" w14:paraId="1BB1769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1D20B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17CCC2C" w14:textId="1A96C12A"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8F5DE3" w:rsidRPr="00146648">
              <w:rPr>
                <w:rFonts w:ascii="Arial" w:eastAsia="Times New Roman" w:hAnsi="Arial" w:cs="Arial"/>
                <w:color w:val="000000"/>
                <w:sz w:val="20"/>
                <w:szCs w:val="20"/>
                <w:lang w:val="es-CO" w:eastAsia="es-CO"/>
              </w:rPr>
              <w:t>RESPUESTA No.1</w:t>
            </w:r>
            <w:r w:rsidR="008F5DE3">
              <w:rPr>
                <w:rFonts w:ascii="Arial" w:eastAsia="Times New Roman" w:hAnsi="Arial" w:cs="Arial"/>
                <w:color w:val="000000"/>
                <w:sz w:val="20"/>
                <w:szCs w:val="20"/>
                <w:lang w:val="es-CO" w:eastAsia="es-CO"/>
              </w:rPr>
              <w:t>6</w:t>
            </w:r>
          </w:p>
        </w:tc>
      </w:tr>
      <w:tr w:rsidR="00A5241F" w:rsidRPr="00B72CCC" w14:paraId="61F1B9D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21F916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01A747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37</w:t>
            </w:r>
          </w:p>
        </w:tc>
      </w:tr>
      <w:tr w:rsidR="00A5241F" w:rsidRPr="00B72CCC" w14:paraId="29549E6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174479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Radicado</w:t>
            </w:r>
          </w:p>
        </w:tc>
        <w:tc>
          <w:tcPr>
            <w:tcW w:w="0" w:type="auto"/>
            <w:tcBorders>
              <w:top w:val="nil"/>
              <w:left w:val="nil"/>
              <w:bottom w:val="single" w:sz="4" w:space="0" w:color="auto"/>
              <w:right w:val="single" w:sz="4" w:space="0" w:color="auto"/>
            </w:tcBorders>
            <w:shd w:val="clear" w:color="auto" w:fill="auto"/>
            <w:vAlign w:val="bottom"/>
            <w:hideMark/>
          </w:tcPr>
          <w:p w14:paraId="34EAA8A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20173210047242</w:t>
            </w:r>
          </w:p>
        </w:tc>
      </w:tr>
      <w:tr w:rsidR="00A5241F" w:rsidRPr="00B72CCC" w14:paraId="77CF7D9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4DB4C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61DFF1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17 de mayo de 2017</w:t>
            </w:r>
          </w:p>
        </w:tc>
      </w:tr>
      <w:tr w:rsidR="00A5241F" w:rsidRPr="00B72CCC" w14:paraId="04B04E0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1266F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30512D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Obras Sanitarias de Pasto - EMPOPASTO</w:t>
            </w:r>
          </w:p>
        </w:tc>
      </w:tr>
      <w:tr w:rsidR="00A5241F" w:rsidRPr="00B72CCC" w14:paraId="61E5848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ADEB1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7D20799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PASTO</w:t>
            </w:r>
          </w:p>
        </w:tc>
      </w:tr>
      <w:tr w:rsidR="00A5241F" w:rsidRPr="00B72CCC" w14:paraId="69C6FC5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19ED7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26B7871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6647E79" w14:textId="77777777" w:rsidTr="00E10153">
        <w:trPr>
          <w:trHeight w:val="185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1CB4DC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F74942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 El valor de los Costos Administrativos del periodo base, que aparece en la tabla 1.3 (hoja 9 de la resolución) para el servicio de acueducto y en la tabla 1.4 (hoja 9 de la resolución) para el servicio de alcantarillado, al igual que los Costos Operativos del periodo base, contenidos en la tabla 2.3 (hoja 11 de la resolución) para el servicio de acueducto y en la tabla 2.4 (hoja 11 de la resolución) para el servicio de alcantarillado, no se encuentran calculados de acuerdo con los criterios contenidos en la Resolución CRA 688 de 2014, modificada y adicionada por la Resolución CRA 735 de 2015. </w:t>
            </w:r>
            <w:r w:rsidRPr="00B72CCC">
              <w:rPr>
                <w:rFonts w:ascii="Arial" w:eastAsia="Times New Roman" w:hAnsi="Arial" w:cs="Arial"/>
                <w:color w:val="000000"/>
                <w:sz w:val="20"/>
                <w:szCs w:val="20"/>
                <w:lang w:val="es-CO" w:eastAsia="es-CO"/>
              </w:rPr>
              <w:br/>
              <w:t>Para el caso de los costos administrativos incluidos en las tablas en cuestión, omiten el cálculo de la remuneración de los activos administrativos, la cual se encuentra definida en el numeral g del Artículo 27 de la Resolución CRA 688, modificado y adicionado por el Artículo 11 de la Resolución CRA 735. En el caso de EMPOPASTO S.A ESP, los valores deberían ser corregidos a los valores de la columna 2 de la siguiente tabla..."</w:t>
            </w:r>
          </w:p>
        </w:tc>
      </w:tr>
      <w:tr w:rsidR="00A5241F" w:rsidRPr="00B72CCC" w14:paraId="72AD606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854CDC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8676C2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1D5AB72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058EEE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ED2858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035854A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30891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D07125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Remuneración de activos administrativos y operativos</w:t>
            </w:r>
          </w:p>
        </w:tc>
      </w:tr>
      <w:tr w:rsidR="00A5241F" w:rsidRPr="00B72CCC" w14:paraId="034840A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B530F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8251FF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73F41C3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E49B5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E28F2B7" w14:textId="04621581"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E10153">
              <w:rPr>
                <w:rFonts w:ascii="Arial" w:eastAsia="Times New Roman" w:hAnsi="Arial" w:cs="Arial"/>
                <w:color w:val="000000"/>
                <w:sz w:val="20"/>
                <w:szCs w:val="20"/>
                <w:lang w:val="es-CO" w:eastAsia="es-CO"/>
              </w:rPr>
              <w:t>RESPUESTA No.4</w:t>
            </w:r>
          </w:p>
        </w:tc>
      </w:tr>
      <w:tr w:rsidR="00A5241F" w:rsidRPr="00B72CCC" w14:paraId="54C7D9F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EBD22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FE9BB6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38</w:t>
            </w:r>
          </w:p>
        </w:tc>
      </w:tr>
      <w:tr w:rsidR="00A5241F" w:rsidRPr="00B72CCC" w14:paraId="65B6FA7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201369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39712B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20173210047242</w:t>
            </w:r>
          </w:p>
        </w:tc>
      </w:tr>
      <w:tr w:rsidR="00A5241F" w:rsidRPr="00B72CCC" w14:paraId="2C32F40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B348E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3FF823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17 de mayo de 2017</w:t>
            </w:r>
          </w:p>
        </w:tc>
      </w:tr>
      <w:tr w:rsidR="00A5241F" w:rsidRPr="00B72CCC" w14:paraId="603E10B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C7D8F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2DAD5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Obras Sanitarias de Pasto - EMPOPASTO</w:t>
            </w:r>
          </w:p>
        </w:tc>
      </w:tr>
      <w:tr w:rsidR="00A5241F" w:rsidRPr="00B72CCC" w14:paraId="6055274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8149F5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A328CE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PASTO</w:t>
            </w:r>
          </w:p>
        </w:tc>
      </w:tr>
      <w:tr w:rsidR="00A5241F" w:rsidRPr="00B72CCC" w14:paraId="18B0DAC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D0BE1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C183B8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5B9CA38" w14:textId="77777777" w:rsidTr="00553119">
        <w:trPr>
          <w:trHeight w:val="32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C6B0C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877C47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"Lo mismo ocurre con el cálculo de la remuneración de los activos operativos, cuyo cálculo se presenta en el literal K del artículo 34 de la Resolución 688, modificado y adicionado por el Artículo 14 de la Resolución CRA 735. Para el caso de EMPOPASTO S.A ESP, los valores que se deberían utilizar, se presentan en la siguiente tabla en la columna 2..."</w:t>
            </w:r>
          </w:p>
        </w:tc>
      </w:tr>
      <w:tr w:rsidR="00A5241F" w:rsidRPr="00B72CCC" w14:paraId="52AB1C6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38FCC3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E9B30C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4FD02F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96E959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26D450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1E0E14F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967A23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7C6BB5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Remuneración de activos administrativos y operativos</w:t>
            </w:r>
          </w:p>
        </w:tc>
      </w:tr>
      <w:tr w:rsidR="00A5241F" w:rsidRPr="00B72CCC" w14:paraId="63CE05C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47BE5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45D212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3BC4018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1C05BA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B886CD4" w14:textId="2119B726"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53119">
              <w:rPr>
                <w:rFonts w:ascii="Arial" w:eastAsia="Times New Roman" w:hAnsi="Arial" w:cs="Arial"/>
                <w:color w:val="000000"/>
                <w:sz w:val="20"/>
                <w:szCs w:val="20"/>
                <w:lang w:val="es-CO" w:eastAsia="es-CO"/>
              </w:rPr>
              <w:t>RESPUESTA No.4</w:t>
            </w:r>
          </w:p>
        </w:tc>
      </w:tr>
      <w:tr w:rsidR="00A5241F" w:rsidRPr="00B72CCC" w14:paraId="3E94AC6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97B129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3184614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39</w:t>
            </w:r>
          </w:p>
        </w:tc>
      </w:tr>
      <w:tr w:rsidR="00A5241F" w:rsidRPr="00B72CCC" w14:paraId="39C5EA3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8A6831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70018D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20173210047422</w:t>
            </w:r>
          </w:p>
        </w:tc>
      </w:tr>
      <w:tr w:rsidR="00A5241F" w:rsidRPr="00B72CCC" w14:paraId="54C044B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B802D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6520CC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18 de mayo de 2017</w:t>
            </w:r>
          </w:p>
        </w:tc>
      </w:tr>
      <w:tr w:rsidR="00A5241F" w:rsidRPr="00B72CCC" w14:paraId="7EE1E38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1923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26C46B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Municipales de Cali EMCALI</w:t>
            </w:r>
          </w:p>
        </w:tc>
      </w:tr>
      <w:tr w:rsidR="00A5241F" w:rsidRPr="00B72CCC" w14:paraId="3AD930F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E26DF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1BA2426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Santiago de Cali</w:t>
            </w:r>
          </w:p>
        </w:tc>
      </w:tr>
      <w:tr w:rsidR="00A5241F" w:rsidRPr="00B72CCC" w14:paraId="5E0B258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37861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2220C3F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2353444D" w14:textId="77777777" w:rsidTr="001D4016">
        <w:trPr>
          <w:trHeight w:val="77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CACD3A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D41E0A1" w14:textId="2D4E315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"…El número de suscriptores con micromedición</w:t>
            </w:r>
            <w:r w:rsidR="001D4016">
              <w:rPr>
                <w:rFonts w:ascii="Arial" w:eastAsia="Times New Roman" w:hAnsi="Arial" w:cs="Arial"/>
                <w:color w:val="000000"/>
                <w:sz w:val="20"/>
                <w:szCs w:val="20"/>
                <w:lang w:val="es-CO" w:eastAsia="es-CO"/>
              </w:rPr>
              <w:t xml:space="preserve"> </w:t>
            </w:r>
            <w:r w:rsidRPr="00B72CCC">
              <w:rPr>
                <w:rFonts w:ascii="Arial" w:eastAsia="Times New Roman" w:hAnsi="Arial" w:cs="Arial"/>
                <w:color w:val="000000"/>
                <w:sz w:val="20"/>
                <w:szCs w:val="20"/>
                <w:lang w:val="es-CO" w:eastAsia="es-CO"/>
              </w:rPr>
              <w:t xml:space="preserve">(46.126) es mayor al número de suscriptores acueducto (46.033). La pregunta que surge es la siguiente: ¡ El presentar un mayor número de suscriptores micromedidos respecto al número total de suscriptores de </w:t>
            </w:r>
            <w:r w:rsidR="001D4016" w:rsidRPr="00B72CCC">
              <w:rPr>
                <w:rFonts w:ascii="Arial" w:eastAsia="Times New Roman" w:hAnsi="Arial" w:cs="Arial"/>
                <w:color w:val="000000"/>
                <w:sz w:val="20"/>
                <w:szCs w:val="20"/>
                <w:lang w:val="es-CO" w:eastAsia="es-CO"/>
              </w:rPr>
              <w:t>acueducto</w:t>
            </w:r>
            <w:r w:rsidRPr="00B72CCC">
              <w:rPr>
                <w:rFonts w:ascii="Arial" w:eastAsia="Times New Roman" w:hAnsi="Arial" w:cs="Arial"/>
                <w:color w:val="000000"/>
                <w:sz w:val="20"/>
                <w:szCs w:val="20"/>
                <w:lang w:val="es-CO" w:eastAsia="es-CO"/>
              </w:rPr>
              <w:t xml:space="preserve"> , no se debería considerar como un dato atípico?</w:t>
            </w:r>
          </w:p>
        </w:tc>
      </w:tr>
      <w:tr w:rsidR="00A5241F" w:rsidRPr="00B72CCC" w14:paraId="3EF783A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70003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FC4E0F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38B740D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88182F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B892E0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226F01B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93E8B4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F73396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Revisión del valor de las variables del modelo</w:t>
            </w:r>
          </w:p>
        </w:tc>
      </w:tr>
      <w:tr w:rsidR="00A5241F" w:rsidRPr="00B72CCC" w14:paraId="36ADB11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A25B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AA8540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D23D39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6ECF6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617E11C" w14:textId="5D9D439E"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D4016">
              <w:rPr>
                <w:rFonts w:ascii="Arial" w:eastAsia="Times New Roman" w:hAnsi="Arial" w:cs="Arial"/>
                <w:color w:val="000000"/>
                <w:sz w:val="20"/>
                <w:szCs w:val="20"/>
                <w:lang w:val="es-CO" w:eastAsia="es-CO"/>
              </w:rPr>
              <w:t>RESPUESTA No.5</w:t>
            </w:r>
          </w:p>
        </w:tc>
      </w:tr>
      <w:tr w:rsidR="00A5241F" w:rsidRPr="00B72CCC" w14:paraId="2F6BAD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278978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759E9D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40</w:t>
            </w:r>
          </w:p>
        </w:tc>
      </w:tr>
      <w:tr w:rsidR="00A5241F" w:rsidRPr="00B72CCC" w14:paraId="24A0EF5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E23E2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2781A9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20173210047422</w:t>
            </w:r>
          </w:p>
        </w:tc>
      </w:tr>
      <w:tr w:rsidR="00A5241F" w:rsidRPr="00B72CCC" w14:paraId="2861E22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D09D5C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0D5C48C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18 de mayo de 2017</w:t>
            </w:r>
          </w:p>
        </w:tc>
      </w:tr>
      <w:tr w:rsidR="00A5241F" w:rsidRPr="00B72CCC" w14:paraId="242B0B0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E2E9BE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D20F3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Empresas Municipales de Cali EMCALI</w:t>
            </w:r>
          </w:p>
        </w:tc>
      </w:tr>
      <w:tr w:rsidR="00A5241F" w:rsidRPr="00B72CCC" w14:paraId="576E8C3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2532A5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B8B3B4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Santiago de Cali</w:t>
            </w:r>
          </w:p>
        </w:tc>
      </w:tr>
      <w:tr w:rsidR="00A5241F" w:rsidRPr="00B72CCC" w14:paraId="6CF1248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06812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F94DD0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690F8FC8" w14:textId="77777777" w:rsidTr="001A1254">
        <w:trPr>
          <w:trHeight w:val="1140"/>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13ED1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697C853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Llama la atención que Proactiva Aguas de Tunja S.A.E.S.P. sea tenida en cuenta en el modelo y marque frontera cuando sus tarifas son contractuales es decir que no debe adoptar los resultados que genera en el modelo de eficiencia comparativa. La inclusión de esta empresa podría afectar a otros prestadores que al aplicar el modelo tiene impacto directo en la estructura de costos"</w:t>
            </w:r>
          </w:p>
        </w:tc>
      </w:tr>
      <w:tr w:rsidR="00A5241F" w:rsidRPr="00B72CCC" w14:paraId="5D77412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0BCEB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105FAE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477014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30AD80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20E2A3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4DFF41E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4791DE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57D966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14A006F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8F66D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C69745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6CB50AC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A380CC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34EAFA5" w14:textId="6E230CDA" w:rsidR="00A5241F" w:rsidRPr="00B72CCC" w:rsidRDefault="001A1254" w:rsidP="00A5241F">
            <w:pPr>
              <w:suppressAutoHyphens w:val="0"/>
              <w:spacing w:after="0" w:line="240" w:lineRule="auto"/>
              <w:jc w:val="both"/>
              <w:rPr>
                <w:rFonts w:ascii="Arial" w:eastAsia="Times New Roman" w:hAnsi="Arial" w:cs="Arial"/>
                <w:color w:val="000000"/>
                <w:sz w:val="20"/>
                <w:szCs w:val="20"/>
                <w:lang w:val="es-CO" w:eastAsia="es-CO"/>
              </w:rPr>
            </w:pPr>
            <w:r w:rsidRPr="00146648">
              <w:rPr>
                <w:rFonts w:ascii="Arial" w:eastAsia="Times New Roman" w:hAnsi="Arial" w:cs="Arial"/>
                <w:color w:val="000000"/>
                <w:sz w:val="20"/>
                <w:szCs w:val="20"/>
                <w:lang w:val="es-CO" w:eastAsia="es-CO"/>
              </w:rPr>
              <w:t>RESPUESTA No.1</w:t>
            </w:r>
          </w:p>
        </w:tc>
      </w:tr>
      <w:tr w:rsidR="00A5241F" w:rsidRPr="00B72CCC" w14:paraId="015E11C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6A88B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A0AF4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41</w:t>
            </w:r>
          </w:p>
        </w:tc>
      </w:tr>
      <w:tr w:rsidR="00A5241F" w:rsidRPr="00B72CCC" w14:paraId="31E9F3B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DBABD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65C670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3547ECF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737860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81E810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7BDAF83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3598A6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D1F7BB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169E62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707DA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890D09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4AB6CA4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53AA26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57593E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9B6192F" w14:textId="77777777" w:rsidTr="00A5241F">
        <w:trPr>
          <w:trHeight w:val="630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17AA75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39735CA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SOBRE LA DEFINICIÓN DE LOS MODELOS - Inversión de variables</w:t>
            </w:r>
            <w:r w:rsidRPr="00B72CCC">
              <w:rPr>
                <w:rFonts w:ascii="Arial" w:eastAsia="Times New Roman" w:hAnsi="Arial" w:cs="Arial"/>
                <w:color w:val="000000"/>
                <w:sz w:val="20"/>
                <w:szCs w:val="20"/>
                <w:lang w:val="es-CO" w:eastAsia="es-CO"/>
              </w:rPr>
              <w:br/>
              <w:t>Si bien los modelos DEA de la Res. CRA 688 de 2014 se basan conceptualmente en los modelos DEA formulados en la Res. CRA 287 de 2004, hay modificaciones que fueron adoptadas en el nuevo marco tarifario que deben ser tenidas en cuenta para el cálculo de los puntajes DEA. Estas modificaciones son principalmente: No se requiere hacer una trasformación del problema a resolver, lo cual fue necesario realizar en el marco de la Res. CRA 287 de 2004 por restricciones del software disponible en esa oportunidad; la orientación del modelo es a la minimización del insumo, esto es la minimización de los costos, con retornos variables a escala; algunas variables utilizadas en los modelos de la Res. CRA 287 de 2004 ya no hacen parte de los modelos de la Res. CRA 688 de 2014.</w:t>
            </w:r>
            <w:r w:rsidRPr="00B72CCC">
              <w:rPr>
                <w:rFonts w:ascii="Arial" w:eastAsia="Times New Roman" w:hAnsi="Arial" w:cs="Arial"/>
                <w:color w:val="000000"/>
                <w:sz w:val="20"/>
                <w:szCs w:val="20"/>
                <w:lang w:val="es-CO" w:eastAsia="es-CO"/>
              </w:rPr>
              <w:br/>
              <w:t>No obstante, para ser incorporadas en los modelos, se requiere la inversión de algunas variables que tienen una relación inversa con los costos. Es decir, que la inversión de variables que se hizo en el marco de la Res. CRA 287 de 2004 se hizo por dos razones: i) para superar una  limitación del software; y ii) para tener en cuenta la relación inversa que tienen algunas variables con los costos. Dado que ya no se requiere transformar el problema a resolver, pues en la versión actual del software se puede resolver el problema directamente (minimización de los costos), no se requiere hacer la inversión de variables para la transformación del problema, pero sí se requiere hacer la trasformación (inversión) de variables que tienen una relación inversa con el costo.</w:t>
            </w:r>
            <w:r w:rsidRPr="00B72CCC">
              <w:rPr>
                <w:rFonts w:ascii="Arial" w:eastAsia="Times New Roman" w:hAnsi="Arial" w:cs="Arial"/>
                <w:color w:val="000000"/>
                <w:sz w:val="20"/>
                <w:szCs w:val="20"/>
                <w:lang w:val="es-CO" w:eastAsia="es-CO"/>
              </w:rPr>
              <w:br/>
              <w:t>En este aspecto, consideramos que se requiere incorporar como producto en el modelo de costos administrativos el valor inverso de la variable suscriptores industriales y comerciales. Así mismo, para el modelo de costos operativos, consideramos que se requiere incorporar como producto el valor inverso de la variable calidad del agua cruda.</w:t>
            </w:r>
            <w:r w:rsidRPr="00B72CCC">
              <w:rPr>
                <w:rFonts w:ascii="Arial" w:eastAsia="Times New Roman" w:hAnsi="Arial" w:cs="Arial"/>
                <w:color w:val="000000"/>
                <w:sz w:val="20"/>
                <w:szCs w:val="20"/>
                <w:lang w:val="es-CO" w:eastAsia="es-CO"/>
              </w:rPr>
              <w:br/>
              <w:t>Si bien estos ajustes no afectan el puntaje obtenido por la EAB en ambos casos que es del 100%, consideramos necesaria esa inversión de variables con el fin de conservar la consistencia metodológica de la formulación de los modelos de eficiencia comparada elegidos por la Comisión.</w:t>
            </w:r>
          </w:p>
        </w:tc>
      </w:tr>
      <w:tr w:rsidR="00A5241F" w:rsidRPr="00B72CCC" w14:paraId="1675AF3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F0E17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290741D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DCDF72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BD0CB1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40B3A7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2382BEA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18EDDB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0DDAEA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Relación Inversa de las Variables</w:t>
            </w:r>
          </w:p>
        </w:tc>
      </w:tr>
      <w:tr w:rsidR="00A5241F" w:rsidRPr="00B72CCC" w14:paraId="3762432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9D8A8B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7CC6598" w14:textId="04962035"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RECHAZAR</w:t>
            </w:r>
          </w:p>
        </w:tc>
      </w:tr>
      <w:tr w:rsidR="00A5241F" w:rsidRPr="00B72CCC" w14:paraId="013F358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B6D4D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410BD69" w14:textId="373154DB"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Pr="00146648">
              <w:rPr>
                <w:rFonts w:ascii="Arial" w:eastAsia="Times New Roman" w:hAnsi="Arial" w:cs="Arial"/>
                <w:color w:val="000000"/>
                <w:sz w:val="20"/>
                <w:szCs w:val="20"/>
                <w:lang w:val="es-CO" w:eastAsia="es-CO"/>
              </w:rPr>
              <w:t>RESPUESTA No.</w:t>
            </w:r>
            <w:r>
              <w:rPr>
                <w:rFonts w:ascii="Arial" w:eastAsia="Times New Roman" w:hAnsi="Arial" w:cs="Arial"/>
                <w:color w:val="000000"/>
                <w:sz w:val="20"/>
                <w:szCs w:val="20"/>
                <w:lang w:val="es-CO" w:eastAsia="es-CO"/>
              </w:rPr>
              <w:t>6</w:t>
            </w:r>
          </w:p>
        </w:tc>
      </w:tr>
      <w:tr w:rsidR="00A5241F" w:rsidRPr="00B72CCC" w14:paraId="5FC2E89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0F5EB8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558EE8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42</w:t>
            </w:r>
          </w:p>
        </w:tc>
      </w:tr>
      <w:tr w:rsidR="00A5241F" w:rsidRPr="00B72CCC" w14:paraId="2216EAD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61A9E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4BF832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449B69C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43B65F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5C368E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1891474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935388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9C57E7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6B2D290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68B43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3D706D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28F978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E8D19F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628DED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4C5427FD" w14:textId="77777777" w:rsidTr="003302C2">
        <w:trPr>
          <w:trHeight w:val="2334"/>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959DD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57D61E4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Controlabilidad de los productos: En cuanto a la característica de controlabilidad de las variables que se incorporan a los modelos como productos, consideramos que no es necesario definir esa característica para esas variables, pues los productos no tienen ese atributo de controlabilidad o no. Debe tenerse presente que la controlabilidad de las variables "insumos" que se definió en el marco de la Res. CRA 287 de 2004, se debió a la transformación del problema original en el problema dual por restricciones del software elegido por la Comisión. En este caso, debido a que los productos del problema original, en valores inversos, se trasformaron en los "insumos" del problema dual, fue necesario definir si estos "insumos" eran o no controlables. De hecho en el Software elegido por la Comisión (Frontier de Banxia versión 4), no asocia una característica de controlabilidad a los productos.</w:t>
            </w:r>
          </w:p>
        </w:tc>
      </w:tr>
      <w:tr w:rsidR="00A5241F" w:rsidRPr="00B72CCC" w14:paraId="36E65C5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8EF67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2E92201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57A8E8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E722A3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3CCB207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2281605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DDA8E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3A5963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1E950CC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5A2D6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68C473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424F2B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181B8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2E55087" w14:textId="51430C71"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3302C2">
              <w:rPr>
                <w:rFonts w:ascii="Arial" w:eastAsia="Times New Roman" w:hAnsi="Arial" w:cs="Arial"/>
                <w:color w:val="000000"/>
                <w:sz w:val="20"/>
                <w:szCs w:val="20"/>
                <w:lang w:val="es-CO" w:eastAsia="es-CO"/>
              </w:rPr>
              <w:t>RESPUESTA No.3</w:t>
            </w:r>
          </w:p>
        </w:tc>
      </w:tr>
      <w:tr w:rsidR="00A5241F" w:rsidRPr="00B72CCC" w14:paraId="0D26256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23B18C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032850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43</w:t>
            </w:r>
          </w:p>
        </w:tc>
      </w:tr>
      <w:tr w:rsidR="00A5241F" w:rsidRPr="00B72CCC" w14:paraId="196BAFD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B759B5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9D41D1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7C03EBB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460B2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126793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694FDD6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77D8E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9C8D99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051E14D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EE968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712BE5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4248C52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13074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B0BE47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30697AE" w14:textId="77777777" w:rsidTr="003302C2">
        <w:trPr>
          <w:trHeight w:val="160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CC0693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C91737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Solicitud a la Comisión</w:t>
            </w:r>
            <w:r w:rsidRPr="00B72CCC">
              <w:rPr>
                <w:rFonts w:ascii="Arial" w:eastAsia="Times New Roman" w:hAnsi="Arial" w:cs="Arial"/>
                <w:color w:val="000000"/>
                <w:sz w:val="20"/>
                <w:szCs w:val="20"/>
                <w:lang w:val="es-CO" w:eastAsia="es-CO"/>
              </w:rPr>
              <w:br/>
              <w:t>Se solicita respetuosamente a la Comisión que se respete la solución del problema que se definió en la Resolución CRA 688 de 2014. Es decir, que se haga el establecimiento de los puntajes DEA resolviendo de manera directa el problema de minimización del insumo, incorporando las variables producto sin asociar una característica de controlabilidad. Consideramos que resolver otro problema de optimización, tal como el problema dual que se formuló resolver en el marco dela Res. CRA 287 de 2004 (maximización del producto definido como el inverso de los costos) correspondería a una modificación de la Res. CRA 688 de 2014.</w:t>
            </w:r>
          </w:p>
        </w:tc>
      </w:tr>
      <w:tr w:rsidR="00A5241F" w:rsidRPr="00B72CCC" w14:paraId="43EE09E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EF5E22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9F0BF7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D497FD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FEBC4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08AF0E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104B5AE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7BA9A2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CB96B0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5309766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EB6A0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23501A3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4554535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D0F6A5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437046AE" w14:textId="190B128C"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3302C2">
              <w:rPr>
                <w:rFonts w:ascii="Arial" w:eastAsia="Times New Roman" w:hAnsi="Arial" w:cs="Arial"/>
                <w:color w:val="000000"/>
                <w:sz w:val="20"/>
                <w:szCs w:val="20"/>
                <w:lang w:val="es-CO" w:eastAsia="es-CO"/>
              </w:rPr>
              <w:t>RESPUESTA No.3</w:t>
            </w:r>
          </w:p>
        </w:tc>
      </w:tr>
      <w:tr w:rsidR="00A5241F" w:rsidRPr="00B72CCC" w14:paraId="6BF7E5F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0DC0B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DA7085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44</w:t>
            </w:r>
          </w:p>
        </w:tc>
      </w:tr>
      <w:tr w:rsidR="00A5241F" w:rsidRPr="00B72CCC" w14:paraId="1F722C9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3E384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E02E0A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493E3D0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26156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20F8A6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523F1BB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3B92A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1A1AB8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4184226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A16E6A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3B9AED0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5742173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2787E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89495C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DFB20F3" w14:textId="77777777" w:rsidTr="00553119">
        <w:trPr>
          <w:trHeight w:val="2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811D0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D43680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Artículo 3 y Anexo I   - Artículo 7 y Anexo II</w:t>
            </w:r>
            <w:r w:rsidRPr="00B72CCC">
              <w:rPr>
                <w:rFonts w:ascii="Arial" w:eastAsia="Times New Roman" w:hAnsi="Arial" w:cs="Arial"/>
                <w:color w:val="000000"/>
                <w:sz w:val="20"/>
                <w:szCs w:val="20"/>
                <w:lang w:val="es-CO" w:eastAsia="es-CO"/>
              </w:rPr>
              <w:br w:type="page"/>
              <w:t>Publicación de la memoria de cálculo de las variables de los modelos DEA así como de los puntajes DEA.</w:t>
            </w:r>
          </w:p>
        </w:tc>
      </w:tr>
      <w:tr w:rsidR="00A5241F" w:rsidRPr="00B72CCC" w14:paraId="49E0398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2BD18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A1244A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16D75BF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0C6DE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9E0F9A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6E8DED6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EF088D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4CBFA0F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Publicación de puntajes y del detalle de los cálculos</w:t>
            </w:r>
          </w:p>
        </w:tc>
      </w:tr>
      <w:tr w:rsidR="00A5241F" w:rsidRPr="00B72CCC" w14:paraId="41BC1EB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5DA716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83E1BC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1185E94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8F4587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0F35163" w14:textId="698B217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61231">
              <w:rPr>
                <w:rFonts w:ascii="Arial" w:eastAsia="Times New Roman" w:hAnsi="Arial" w:cs="Arial"/>
                <w:color w:val="000000"/>
                <w:sz w:val="20"/>
                <w:szCs w:val="20"/>
                <w:lang w:val="es-CO" w:eastAsia="es-CO"/>
              </w:rPr>
              <w:t>RESPUESTA No.10</w:t>
            </w:r>
          </w:p>
        </w:tc>
      </w:tr>
      <w:tr w:rsidR="00A5241F" w:rsidRPr="00B72CCC" w14:paraId="7EB86C4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952357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1DAB75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45</w:t>
            </w:r>
          </w:p>
        </w:tc>
      </w:tr>
      <w:tr w:rsidR="00A5241F" w:rsidRPr="00B72CCC" w14:paraId="6BAEF93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41FD52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441643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3A6D753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29B54E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0C15C6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08256A9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435BE5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CD37B1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1E51F62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76B88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B91400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0A90C8F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95C228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EA6A83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49BF047F" w14:textId="77777777" w:rsidTr="00553119">
        <w:trPr>
          <w:trHeight w:val="270"/>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79491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1AF525F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Artículo 3 y Anexo I   - Artículo 7 y Anexo II</w:t>
            </w:r>
            <w:r w:rsidRPr="00B72CCC">
              <w:rPr>
                <w:rFonts w:ascii="Arial" w:eastAsia="Times New Roman" w:hAnsi="Arial" w:cs="Arial"/>
                <w:color w:val="000000"/>
                <w:sz w:val="20"/>
                <w:szCs w:val="20"/>
                <w:lang w:val="es-CO" w:eastAsia="es-CO"/>
              </w:rPr>
              <w:br/>
              <w:t>Incorporación del costo de oportunidad de capital en la remuneración de los activos administrativos y operativos en el cálculo de los costos base CAb y COb.</w:t>
            </w:r>
          </w:p>
        </w:tc>
      </w:tr>
      <w:tr w:rsidR="00A5241F" w:rsidRPr="00B72CCC" w14:paraId="566580C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1C4EB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904560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1E7CB8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F09D5D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75C7B0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171ECB4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477BEA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0DADB5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Remuneración de activos administrativos y operativos</w:t>
            </w:r>
          </w:p>
        </w:tc>
      </w:tr>
      <w:tr w:rsidR="00A5241F" w:rsidRPr="00B72CCC" w14:paraId="2F3FB6D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68BE0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44DFF1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03565F1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56841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416375B" w14:textId="3AC040C5"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53119">
              <w:rPr>
                <w:rFonts w:ascii="Arial" w:eastAsia="Times New Roman" w:hAnsi="Arial" w:cs="Arial"/>
                <w:color w:val="000000"/>
                <w:sz w:val="20"/>
                <w:szCs w:val="20"/>
                <w:lang w:val="es-CO" w:eastAsia="es-CO"/>
              </w:rPr>
              <w:t>RESPUESTA No.4</w:t>
            </w:r>
          </w:p>
        </w:tc>
      </w:tr>
      <w:tr w:rsidR="00A5241F" w:rsidRPr="00B72CCC" w14:paraId="4B6F8F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38B0F0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8CC94A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46</w:t>
            </w:r>
          </w:p>
        </w:tc>
      </w:tr>
      <w:tr w:rsidR="00A5241F" w:rsidRPr="00B72CCC" w14:paraId="2F592A9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1F3445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C915AE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12B80E9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C367B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056F1CF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5123FDE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15B52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DD2F59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16BAB1C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CCFE67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7EC9973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1024839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43244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1D4148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E841B97" w14:textId="77777777" w:rsidTr="00553119">
        <w:trPr>
          <w:trHeight w:val="69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3D91E0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1B62F60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Artículo 3 y Anexo I   - Artículo 7 y Anexo II</w:t>
            </w:r>
            <w:r w:rsidRPr="00B72CCC">
              <w:rPr>
                <w:rFonts w:ascii="Arial" w:eastAsia="Times New Roman" w:hAnsi="Arial" w:cs="Arial"/>
                <w:color w:val="000000"/>
                <w:sz w:val="20"/>
                <w:szCs w:val="20"/>
                <w:lang w:val="es-CO" w:eastAsia="es-CO"/>
              </w:rPr>
              <w:br/>
              <w:t>Se tenga en cuenta dentro del cálculo de la remuneración de los activos administrativos, los saldos de cuentas operativas trasladados del CO al CA, los cuales se encuentran reportados por la EAB en el formato Excel de la SSPD en las hojas "Anexo Costos 2013" y "Anexo Costos 2014".</w:t>
            </w:r>
          </w:p>
        </w:tc>
      </w:tr>
      <w:tr w:rsidR="00A5241F" w:rsidRPr="00B72CCC" w14:paraId="19352E5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D2355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F952EE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37859BE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403C3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351E33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5608645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BBAC33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66E0B83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Remuneración de activos administrativos y operativos</w:t>
            </w:r>
          </w:p>
        </w:tc>
      </w:tr>
      <w:tr w:rsidR="00A5241F" w:rsidRPr="00B72CCC" w14:paraId="4252260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FDF3D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B8116B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149943F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488C9E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Respuesta</w:t>
            </w:r>
          </w:p>
        </w:tc>
        <w:tc>
          <w:tcPr>
            <w:tcW w:w="0" w:type="auto"/>
            <w:tcBorders>
              <w:top w:val="nil"/>
              <w:left w:val="nil"/>
              <w:bottom w:val="single" w:sz="4" w:space="0" w:color="auto"/>
              <w:right w:val="single" w:sz="4" w:space="0" w:color="auto"/>
            </w:tcBorders>
            <w:shd w:val="clear" w:color="auto" w:fill="auto"/>
            <w:vAlign w:val="bottom"/>
            <w:hideMark/>
          </w:tcPr>
          <w:p w14:paraId="6EB799EE" w14:textId="5B010EC9"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53119">
              <w:rPr>
                <w:rFonts w:ascii="Arial" w:eastAsia="Times New Roman" w:hAnsi="Arial" w:cs="Arial"/>
                <w:color w:val="000000"/>
                <w:sz w:val="20"/>
                <w:szCs w:val="20"/>
                <w:lang w:val="es-CO" w:eastAsia="es-CO"/>
              </w:rPr>
              <w:t>RESPUESTA No.4</w:t>
            </w:r>
          </w:p>
        </w:tc>
      </w:tr>
      <w:tr w:rsidR="00A5241F" w:rsidRPr="00B72CCC" w14:paraId="2404257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D0070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5AB9F1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47</w:t>
            </w:r>
          </w:p>
        </w:tc>
      </w:tr>
      <w:tr w:rsidR="00A5241F" w:rsidRPr="00B72CCC" w14:paraId="257528A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E1EA28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84DA30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0C7DE1C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A55CF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4EC68D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7E14EDC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4B96E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72E9600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2B91D13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3F2452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053D7F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6B7FC7D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412F4D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364761C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EC933A1" w14:textId="77777777" w:rsidTr="00553119">
        <w:trPr>
          <w:trHeight w:val="48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218EA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426B05C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Artículo 3 y Anexo I   - Artículo 7 y Anexo II</w:t>
            </w:r>
            <w:r w:rsidRPr="00B72CCC">
              <w:rPr>
                <w:rFonts w:ascii="Arial" w:eastAsia="Times New Roman" w:hAnsi="Arial" w:cs="Arial"/>
                <w:color w:val="000000"/>
                <w:sz w:val="20"/>
                <w:szCs w:val="20"/>
                <w:lang w:val="es-CO" w:eastAsia="es-CO"/>
              </w:rPr>
              <w:br w:type="page"/>
              <w:t>Se calcule un solo valor de CAb y COb para todos los fines, es decir, el mismo valor para cada parámetro CAb y Cob tanto para el cálculo del Costos Unitario Eficientes como para la determinación de los puntajes DEA.</w:t>
            </w:r>
          </w:p>
        </w:tc>
      </w:tr>
      <w:tr w:rsidR="00A5241F" w:rsidRPr="00B72CCC" w14:paraId="7175E65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7CE71E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5F41FD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575748C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12D87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507626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48BDBEA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A901D6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5C52F8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Remuneración de activos administrativos y operativos</w:t>
            </w:r>
          </w:p>
        </w:tc>
      </w:tr>
      <w:tr w:rsidR="00A5241F" w:rsidRPr="00B72CCC" w14:paraId="6C13EA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247569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5D0F35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1E36A3F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2A76A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1F15B111" w14:textId="7BF7524E"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53119">
              <w:rPr>
                <w:rFonts w:ascii="Arial" w:eastAsia="Times New Roman" w:hAnsi="Arial" w:cs="Arial"/>
                <w:color w:val="000000"/>
                <w:sz w:val="20"/>
                <w:szCs w:val="20"/>
                <w:lang w:val="es-CO" w:eastAsia="es-CO"/>
              </w:rPr>
              <w:t>RESPUESTA No.4</w:t>
            </w:r>
          </w:p>
        </w:tc>
      </w:tr>
      <w:tr w:rsidR="00A5241F" w:rsidRPr="00B72CCC" w14:paraId="4E7AE1E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3CAC1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FA3EAF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48</w:t>
            </w:r>
          </w:p>
        </w:tc>
      </w:tr>
      <w:tr w:rsidR="00A5241F" w:rsidRPr="00B72CCC" w14:paraId="0CAD4E7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39F7D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9E6F76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621CD50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A8A36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39123F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3B386C2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726414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1A2BCF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6E189FD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E9B04B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1C11B34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789D60F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1B9A3A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9C8D4E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3B67285" w14:textId="77777777" w:rsidTr="00B72CCC">
        <w:trPr>
          <w:trHeight w:val="900"/>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89DA78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633141C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Artículo 3 y Anexo I   - Artículo 7 y Anexo II</w:t>
            </w:r>
            <w:r w:rsidRPr="00B72CCC">
              <w:rPr>
                <w:rFonts w:ascii="Arial" w:eastAsia="Times New Roman" w:hAnsi="Arial" w:cs="Arial"/>
                <w:color w:val="000000"/>
                <w:sz w:val="20"/>
                <w:szCs w:val="20"/>
                <w:lang w:val="es-CO" w:eastAsia="es-CO"/>
              </w:rPr>
              <w:br/>
              <w:t>Incorporación de valores inversos para los productos Suscriptores Industriales y Comercial, y Calidad del Agua Cruda</w:t>
            </w:r>
          </w:p>
        </w:tc>
      </w:tr>
      <w:tr w:rsidR="00A5241F" w:rsidRPr="00B72CCC" w14:paraId="3B0A8DE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544DB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236CAA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A819CC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F32B0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1C7011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1DE7E1A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9678A6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434853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Relación Inversa de las Variables</w:t>
            </w:r>
          </w:p>
        </w:tc>
      </w:tr>
      <w:tr w:rsidR="00A5241F" w:rsidRPr="00B72CCC" w14:paraId="3A81AEC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3C9A15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9401565" w14:textId="63CF3749"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RECHAZAR</w:t>
            </w:r>
          </w:p>
        </w:tc>
      </w:tr>
      <w:tr w:rsidR="00A5241F" w:rsidRPr="00B72CCC" w14:paraId="6B6F9DE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1A5E5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AA1C782" w14:textId="0E3C03DE"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Pr>
                <w:rFonts w:ascii="Arial" w:eastAsia="Times New Roman" w:hAnsi="Arial" w:cs="Arial"/>
                <w:color w:val="000000"/>
                <w:sz w:val="20"/>
                <w:szCs w:val="20"/>
                <w:lang w:val="es-CO" w:eastAsia="es-CO"/>
              </w:rPr>
              <w:t>RESPUESTA No.6</w:t>
            </w:r>
          </w:p>
        </w:tc>
      </w:tr>
      <w:tr w:rsidR="00A5241F" w:rsidRPr="00B72CCC" w14:paraId="7EC96DE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409219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D5AC87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49</w:t>
            </w:r>
          </w:p>
        </w:tc>
      </w:tr>
      <w:tr w:rsidR="00A5241F" w:rsidRPr="00B72CCC" w14:paraId="25E66CA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8AD7C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9845CB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62EEEF7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E3A3D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F10CF5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3354D26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366285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01263F3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1835C52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1807E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CF398B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01E99E2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1DA010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3662D6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43175798" w14:textId="77777777" w:rsidTr="00B72CCC">
        <w:trPr>
          <w:trHeight w:val="600"/>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659CD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273F511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Artículo 3 y Anexo I   - Artículo 7 y Anexo II</w:t>
            </w:r>
            <w:r w:rsidRPr="00B72CCC">
              <w:rPr>
                <w:rFonts w:ascii="Arial" w:eastAsia="Times New Roman" w:hAnsi="Arial" w:cs="Arial"/>
                <w:color w:val="000000"/>
                <w:sz w:val="20"/>
                <w:szCs w:val="20"/>
                <w:lang w:val="es-CO" w:eastAsia="es-CO"/>
              </w:rPr>
              <w:br/>
              <w:t>Revisión del cálculo de la variable calidad del agua Cruda.</w:t>
            </w:r>
          </w:p>
        </w:tc>
      </w:tr>
      <w:tr w:rsidR="00A5241F" w:rsidRPr="00B72CCC" w14:paraId="1EB2364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188337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12A4BF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324D4D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D9F87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61D0A6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2F5B74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069B5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381506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Revisión del valor de las variables del modelo</w:t>
            </w:r>
          </w:p>
        </w:tc>
      </w:tr>
      <w:tr w:rsidR="00A5241F" w:rsidRPr="00B72CCC" w14:paraId="29A14A8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784624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CBA141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14F6C00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BB4581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37C0553" w14:textId="77777777" w:rsidR="00A5241F"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p>
          <w:p w14:paraId="40A4FFD1" w14:textId="4D334DCB" w:rsidR="00CE608B" w:rsidRPr="00B72CCC" w:rsidRDefault="00CE608B" w:rsidP="00A5241F">
            <w:pPr>
              <w:suppressAutoHyphens w:val="0"/>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RESPUESTA No.5</w:t>
            </w:r>
          </w:p>
        </w:tc>
      </w:tr>
      <w:tr w:rsidR="00A5241F" w:rsidRPr="00B72CCC" w14:paraId="225AAD7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930C05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3E501C4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50</w:t>
            </w:r>
          </w:p>
        </w:tc>
      </w:tr>
      <w:tr w:rsidR="00A5241F" w:rsidRPr="00B72CCC" w14:paraId="24C89AF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BBE3D0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C37D3E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76AD50B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EED8DA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A5F578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0BAA599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1FEA70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15A2E2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4475E15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13B457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79E43FF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223DC29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5353F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CC9513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FDD0AC7" w14:textId="77777777" w:rsidTr="00513AD3">
        <w:trPr>
          <w:trHeight w:val="47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65DD36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4883B5A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Artículo 4 - Artículo 8</w:t>
            </w:r>
            <w:r w:rsidRPr="00B72CCC">
              <w:rPr>
                <w:rFonts w:ascii="Arial" w:eastAsia="Times New Roman" w:hAnsi="Arial" w:cs="Arial"/>
                <w:color w:val="000000"/>
                <w:sz w:val="20"/>
                <w:szCs w:val="20"/>
                <w:lang w:val="es-CO" w:eastAsia="es-CO"/>
              </w:rPr>
              <w:br/>
              <w:t>Publicación de la sustentación de la selección de la muestra para el cálculo del el parámetro PNCDEA.</w:t>
            </w:r>
          </w:p>
        </w:tc>
      </w:tr>
      <w:tr w:rsidR="00A5241F" w:rsidRPr="00B72CCC" w14:paraId="03A6FFE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DF3743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FBD7E6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3A5DE5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8B3E32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81E761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393B05C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4EDAF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531F97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Particularidades No Captadas</w:t>
            </w:r>
          </w:p>
        </w:tc>
      </w:tr>
      <w:tr w:rsidR="00A5241F" w:rsidRPr="00B72CCC" w14:paraId="4954E92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59265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F21A8C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EE989B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982728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C70D007" w14:textId="16037DD9"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13AD3">
              <w:rPr>
                <w:rFonts w:ascii="Arial" w:eastAsia="Times New Roman" w:hAnsi="Arial" w:cs="Arial"/>
                <w:color w:val="000000"/>
                <w:sz w:val="20"/>
                <w:szCs w:val="20"/>
                <w:lang w:val="es-CO" w:eastAsia="es-CO"/>
              </w:rPr>
              <w:t>RESPUESTA No.7</w:t>
            </w:r>
          </w:p>
        </w:tc>
      </w:tr>
      <w:tr w:rsidR="00A5241F" w:rsidRPr="00B72CCC" w14:paraId="712E59B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054FDF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7A0717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51</w:t>
            </w:r>
          </w:p>
        </w:tc>
      </w:tr>
      <w:tr w:rsidR="00A5241F" w:rsidRPr="00B72CCC" w14:paraId="3D0EE25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34C01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4BACB1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6BCCCDA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0CFBB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0208CF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2166A18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AFA450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E37E55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316C9FA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4FD79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70DA48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28430A3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F35019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F8ABB6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3390389" w14:textId="77777777" w:rsidTr="00EB1E5C">
        <w:trPr>
          <w:trHeight w:val="52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EBF6F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D6E156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Artículo 6 - Artículo 10</w:t>
            </w:r>
            <w:r w:rsidRPr="00B72CCC">
              <w:rPr>
                <w:rFonts w:ascii="Arial" w:eastAsia="Times New Roman" w:hAnsi="Arial" w:cs="Arial"/>
                <w:color w:val="000000"/>
                <w:sz w:val="20"/>
                <w:szCs w:val="20"/>
                <w:lang w:val="es-CO" w:eastAsia="es-CO"/>
              </w:rPr>
              <w:br/>
              <w:t>• Publicación del sustento de la modificación de la fórmula.</w:t>
            </w:r>
            <w:r w:rsidRPr="00B72CCC">
              <w:rPr>
                <w:rFonts w:ascii="Arial" w:eastAsia="Times New Roman" w:hAnsi="Arial" w:cs="Arial"/>
                <w:color w:val="000000"/>
                <w:sz w:val="20"/>
                <w:szCs w:val="20"/>
                <w:lang w:val="es-CO" w:eastAsia="es-CO"/>
              </w:rPr>
              <w:br/>
              <w:t>• Revisión de los plazos de participación de acuerdo con los términos previstos en el Decreto 1077 de 2015</w:t>
            </w:r>
          </w:p>
        </w:tc>
      </w:tr>
      <w:tr w:rsidR="00A5241F" w:rsidRPr="00B72CCC" w14:paraId="4EBE782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D49922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A78FE3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87E9CC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C142BA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2CDBD4C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6B5E680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C523B6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9BD39C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Ajuste a la fórmula tarifaria</w:t>
            </w:r>
          </w:p>
        </w:tc>
      </w:tr>
      <w:tr w:rsidR="00A5241F" w:rsidRPr="00B72CCC" w14:paraId="6FA3CDA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FC99B3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453D87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701F2CF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16697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48DA0C85" w14:textId="652E6844" w:rsidR="00A5241F" w:rsidRPr="00B72CCC" w:rsidRDefault="00A5241F" w:rsidP="00EB1E5C">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EB1E5C">
              <w:rPr>
                <w:rFonts w:ascii="Arial" w:eastAsia="Times New Roman" w:hAnsi="Arial" w:cs="Arial"/>
                <w:color w:val="000000"/>
                <w:sz w:val="20"/>
                <w:szCs w:val="20"/>
                <w:lang w:val="es-CO" w:eastAsia="es-CO"/>
              </w:rPr>
              <w:t>RESPUESTA No.8</w:t>
            </w:r>
          </w:p>
        </w:tc>
      </w:tr>
      <w:tr w:rsidR="00A5241F" w:rsidRPr="00B72CCC" w14:paraId="0D2D286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70E14F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Consecutivo</w:t>
            </w:r>
          </w:p>
        </w:tc>
        <w:tc>
          <w:tcPr>
            <w:tcW w:w="0" w:type="auto"/>
            <w:tcBorders>
              <w:top w:val="nil"/>
              <w:left w:val="nil"/>
              <w:bottom w:val="single" w:sz="4" w:space="0" w:color="auto"/>
              <w:right w:val="single" w:sz="4" w:space="0" w:color="auto"/>
            </w:tcBorders>
            <w:shd w:val="clear" w:color="000000" w:fill="BFBFBF"/>
            <w:vAlign w:val="bottom"/>
            <w:hideMark/>
          </w:tcPr>
          <w:p w14:paraId="7246476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52</w:t>
            </w:r>
          </w:p>
        </w:tc>
      </w:tr>
      <w:tr w:rsidR="00A5241F" w:rsidRPr="00B72CCC" w14:paraId="42295C7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7310D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159EEC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494DFF5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CD592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BE3480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6181E61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4A8B0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6C5134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20F6212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658D0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5E0ED2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7F7486F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62629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26CB54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826DD4A" w14:textId="77777777" w:rsidTr="00561231">
        <w:trPr>
          <w:trHeight w:val="67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46AA7D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AB4E0F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Se aclare que el cálculo de la variable micromedición efectiva se ha realizado con base en la fórmula adoptada por la Comisión en la Res. CRA 770 de 2016 (documento de trabajo), es decir, un cociente de valores promedios.</w:t>
            </w:r>
            <w:r w:rsidRPr="00B72CCC">
              <w:rPr>
                <w:rFonts w:ascii="Arial" w:eastAsia="Times New Roman" w:hAnsi="Arial" w:cs="Arial"/>
                <w:color w:val="000000"/>
                <w:sz w:val="20"/>
                <w:szCs w:val="20"/>
                <w:lang w:val="es-CO" w:eastAsia="es-CO"/>
              </w:rPr>
              <w:br/>
              <w:t>• O que se reporte en el documento de trabajo de la Res. CRA 791 de 2017 el cálculo de la variable micromedición efectiva con base en la fórmula de la Res. CRA 770 de 2016 (documento de trabajo), es decir, un cociente de valores promedios.</w:t>
            </w:r>
          </w:p>
        </w:tc>
      </w:tr>
      <w:tr w:rsidR="00A5241F" w:rsidRPr="00B72CCC" w14:paraId="0CDFBEA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04220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79AE8B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5E7314B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EA2E43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A19E50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4572C4A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EF1AB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2E0644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Publicación de puntajes y del detalle de los cálculos</w:t>
            </w:r>
          </w:p>
        </w:tc>
      </w:tr>
      <w:tr w:rsidR="00A5241F" w:rsidRPr="00B72CCC" w14:paraId="4D902BD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EEE95C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1F5CB9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E13EED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EE6B4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B95D4DE" w14:textId="693BDBB4"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61231">
              <w:rPr>
                <w:rFonts w:ascii="Arial" w:eastAsia="Times New Roman" w:hAnsi="Arial" w:cs="Arial"/>
                <w:color w:val="000000"/>
                <w:sz w:val="20"/>
                <w:szCs w:val="20"/>
                <w:lang w:val="es-CO" w:eastAsia="es-CO"/>
              </w:rPr>
              <w:t>RESPUESTA No.10</w:t>
            </w:r>
          </w:p>
        </w:tc>
      </w:tr>
      <w:tr w:rsidR="00A5241F" w:rsidRPr="00B72CCC" w14:paraId="4026B45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DBF603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1D9EB5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53</w:t>
            </w:r>
          </w:p>
        </w:tc>
      </w:tr>
      <w:tr w:rsidR="00A5241F" w:rsidRPr="00B72CCC" w14:paraId="2BE7CC0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7E11C8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20F9C3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316D888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8B2CA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43C895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29E31F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21B662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002BC2F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253F40C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93A4E9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1CE556C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2DF288A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6A3D68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669A52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291381E" w14:textId="77777777" w:rsidTr="003302C2">
        <w:trPr>
          <w:trHeight w:val="63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71A90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F6DCE5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Debido a que el documento de trabajo de la Res. CRA 791 de 2017 declara que se toma como base para los modelos DEA la metodología establecida en la Res. CRA 287 de 20041, se requiere examinar y tener claridad acerca de qué aspectos de los modelos DEA de esa resolución deben ser considerados para el cálculo de los puntajes DEA en el marco de la Res. CRA 688 de 2014, y qué aspectos del modelo fueron definitivamente modificados por la Res. CRA 688 de 2014 y para los cuales ya no se aplica lo dicho en la resolución CRA 287 de 2004.</w:t>
            </w:r>
            <w:r w:rsidRPr="00B72CCC">
              <w:rPr>
                <w:rFonts w:ascii="Arial" w:eastAsia="Times New Roman" w:hAnsi="Arial" w:cs="Arial"/>
                <w:color w:val="000000"/>
                <w:sz w:val="20"/>
                <w:szCs w:val="20"/>
                <w:lang w:val="es-CO" w:eastAsia="es-CO"/>
              </w:rPr>
              <w:br w:type="page"/>
              <w:t>Con este fin, en esta sección se hace un recuento de los antecedentes de los modelos DEA de la Res. CRA 287 de 2004 en relación con la inversión y controlabilidad de las variables y se hace una comparación entre los dos modelos (Res. CRA 287 de 2004 y Res. CRA 688 de 2014) para que se tenga claro, en el nuevo cálculo de los puntajes de eficiencia comparada, qué aspectos de la Res. CRA 287 de 2004 se conservan y qué aspectos han cambiado.</w:t>
            </w:r>
          </w:p>
        </w:tc>
      </w:tr>
      <w:tr w:rsidR="00A5241F" w:rsidRPr="00B72CCC" w14:paraId="60582CD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822BB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778621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99A0D9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BD840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E7F02C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61A77A9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60750E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01B6ECC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602FE35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116F8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940A61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2F70DFD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327D6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40142EA" w14:textId="36B75D5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3302C2">
              <w:rPr>
                <w:rFonts w:ascii="Arial" w:eastAsia="Times New Roman" w:hAnsi="Arial" w:cs="Arial"/>
                <w:color w:val="000000"/>
                <w:sz w:val="20"/>
                <w:szCs w:val="20"/>
                <w:lang w:val="es-CO" w:eastAsia="es-CO"/>
              </w:rPr>
              <w:t>RESPUESTA No.3</w:t>
            </w:r>
          </w:p>
        </w:tc>
      </w:tr>
      <w:tr w:rsidR="00A5241F" w:rsidRPr="00B72CCC" w14:paraId="640D3E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47932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Consecutivo</w:t>
            </w:r>
          </w:p>
        </w:tc>
        <w:tc>
          <w:tcPr>
            <w:tcW w:w="0" w:type="auto"/>
            <w:tcBorders>
              <w:top w:val="nil"/>
              <w:left w:val="nil"/>
              <w:bottom w:val="single" w:sz="4" w:space="0" w:color="auto"/>
              <w:right w:val="single" w:sz="4" w:space="0" w:color="auto"/>
            </w:tcBorders>
            <w:shd w:val="clear" w:color="000000" w:fill="BFBFBF"/>
            <w:vAlign w:val="bottom"/>
            <w:hideMark/>
          </w:tcPr>
          <w:p w14:paraId="0CE5B99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54</w:t>
            </w:r>
          </w:p>
        </w:tc>
      </w:tr>
      <w:tr w:rsidR="00A5241F" w:rsidRPr="00B72CCC" w14:paraId="2218672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1A152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2A9AB2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49F7B6F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3A883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9890E5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067246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33AE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CC5AC5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5B0B3B6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9199A7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1647C98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792357A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F1AAF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A389E7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89B741A" w14:textId="77777777" w:rsidTr="00564245">
        <w:trPr>
          <w:trHeight w:val="81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E66C2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1CFB69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Página 6, 7, 8, 9, 10, 11 y 12</w:t>
            </w:r>
            <w:r w:rsidRPr="00B72CCC">
              <w:rPr>
                <w:rFonts w:ascii="Arial" w:eastAsia="Times New Roman" w:hAnsi="Arial" w:cs="Arial"/>
                <w:color w:val="000000"/>
                <w:sz w:val="20"/>
                <w:szCs w:val="20"/>
                <w:lang w:val="es-CO" w:eastAsia="es-CO"/>
              </w:rPr>
              <w:br/>
              <w:t>Dados los argumentos y análisis presentados en este documento, se solicita respetuosamente a la Comisión que los productos que tienen una relación inversa con los costos se incorporen al modelo con valores invertidos Como se mostrará en la sección 3.2.1, en la publicación de resultados del proyecto de resolución CRA 791 de 2017 se infiere que no se ha realizado la inversión necesaria de variables.</w:t>
            </w:r>
          </w:p>
        </w:tc>
      </w:tr>
      <w:tr w:rsidR="00A5241F" w:rsidRPr="00B72CCC" w14:paraId="3C29DF4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EC1CF5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C3C9B9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267E05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D675E2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194540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4F4733E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17319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02D5631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Relación Inversa de las Variables</w:t>
            </w:r>
          </w:p>
        </w:tc>
      </w:tr>
      <w:tr w:rsidR="00A5241F" w:rsidRPr="00B72CCC" w14:paraId="2BE92A8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9F413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D95EE70" w14:textId="1C42323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RECHAZAR</w:t>
            </w:r>
          </w:p>
        </w:tc>
      </w:tr>
      <w:tr w:rsidR="00A5241F" w:rsidRPr="00B72CCC" w14:paraId="5DFAC8C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B10A5C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8B39F80" w14:textId="3F76B966"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Pr>
                <w:rFonts w:ascii="Arial" w:eastAsia="Times New Roman" w:hAnsi="Arial" w:cs="Arial"/>
                <w:color w:val="000000"/>
                <w:sz w:val="20"/>
                <w:szCs w:val="20"/>
                <w:lang w:val="es-CO" w:eastAsia="es-CO"/>
              </w:rPr>
              <w:t>RESPUESTA No.6</w:t>
            </w:r>
          </w:p>
        </w:tc>
      </w:tr>
      <w:tr w:rsidR="00A5241F" w:rsidRPr="00B72CCC" w14:paraId="5781857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F5DEA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B6C5EE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55</w:t>
            </w:r>
          </w:p>
        </w:tc>
      </w:tr>
      <w:tr w:rsidR="00A5241F" w:rsidRPr="00B72CCC" w14:paraId="41455EB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EA970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8B19F9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4F2FDE2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4E948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AA4CBE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46BAC27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6A213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489D4E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65182A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C25F4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CCE657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65B05FC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2166E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7B757FA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5952757D" w14:textId="77777777" w:rsidTr="00A5241F">
        <w:trPr>
          <w:trHeight w:val="2536"/>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570AD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848BB9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Pareciera que la "transformación de variables" que se hizo en la Res. CRA 287 de 2004 se estuviera restringiendo a la necesidad de resolver el problema dual que se debió formular para el cálculo de los puntajes por restricciones del software disponible en esa oportunidad.</w:t>
            </w:r>
            <w:r w:rsidRPr="00B72CCC">
              <w:rPr>
                <w:rFonts w:ascii="Arial" w:eastAsia="Times New Roman" w:hAnsi="Arial" w:cs="Arial"/>
                <w:color w:val="000000"/>
                <w:sz w:val="20"/>
                <w:szCs w:val="20"/>
                <w:lang w:val="es-CO" w:eastAsia="es-CO"/>
              </w:rPr>
              <w:br w:type="page"/>
              <w:t>No obstante, se debe tener presente que en la Res. CRA 287 de 2004 había dos tipos de inversiones o transformaciones de variables como se ha mostrado en la sección 3.1 de este documento de observaciones en atención al proceso de discusión directa del proyecto de norma convocado por la Comisión:</w:t>
            </w:r>
            <w:r w:rsidRPr="00B72CCC">
              <w:rPr>
                <w:rFonts w:ascii="Arial" w:eastAsia="Times New Roman" w:hAnsi="Arial" w:cs="Arial"/>
                <w:color w:val="000000"/>
                <w:sz w:val="20"/>
                <w:szCs w:val="20"/>
                <w:lang w:val="es-CO" w:eastAsia="es-CO"/>
              </w:rPr>
              <w:br w:type="page"/>
              <w:t>• La inversión de variables necesaria para resolver el problema dual.</w:t>
            </w:r>
            <w:r w:rsidRPr="00B72CCC">
              <w:rPr>
                <w:rFonts w:ascii="Arial" w:eastAsia="Times New Roman" w:hAnsi="Arial" w:cs="Arial"/>
                <w:color w:val="000000"/>
                <w:sz w:val="20"/>
                <w:szCs w:val="20"/>
                <w:lang w:val="es-CO" w:eastAsia="es-CO"/>
              </w:rPr>
              <w:br w:type="page"/>
              <w:t>• La inversión de variables que tienen una relación inversa con el costo.</w:t>
            </w:r>
            <w:r w:rsidRPr="00B72CCC">
              <w:rPr>
                <w:rFonts w:ascii="Arial" w:eastAsia="Times New Roman" w:hAnsi="Arial" w:cs="Arial"/>
                <w:color w:val="000000"/>
                <w:sz w:val="20"/>
                <w:szCs w:val="20"/>
                <w:lang w:val="es-CO" w:eastAsia="es-CO"/>
              </w:rPr>
              <w:br w:type="page"/>
              <w:t>Si bien, con la versión disponible del software elegido por la Comisión no se requiere la  transformación de variables según lo citado del  documento de trabajo de la Res. CRA 688 de 2014, en todo caso se requiere la trasformación o inversión de variables que tienen una relación inversa con el insumo, esto es, con el costo.</w:t>
            </w:r>
          </w:p>
        </w:tc>
      </w:tr>
      <w:tr w:rsidR="00A5241F" w:rsidRPr="00B72CCC" w14:paraId="307510C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72152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2A148D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C60767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10F7F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24055A2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432BD18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BAC929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46804D8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Relación Inversa de las Variables</w:t>
            </w:r>
          </w:p>
        </w:tc>
      </w:tr>
      <w:tr w:rsidR="00A5241F" w:rsidRPr="00B72CCC" w14:paraId="7579127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311B71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9AA4DD7" w14:textId="0404C3C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RECHAZAR</w:t>
            </w:r>
          </w:p>
        </w:tc>
      </w:tr>
      <w:tr w:rsidR="00A5241F" w:rsidRPr="00B72CCC" w14:paraId="17D0B2E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C541A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6A74A451" w14:textId="20AA01D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Pr>
                <w:rFonts w:ascii="Arial" w:eastAsia="Times New Roman" w:hAnsi="Arial" w:cs="Arial"/>
                <w:color w:val="000000"/>
                <w:sz w:val="20"/>
                <w:szCs w:val="20"/>
                <w:lang w:val="es-CO" w:eastAsia="es-CO"/>
              </w:rPr>
              <w:t>RESPUESTA No.6</w:t>
            </w:r>
          </w:p>
        </w:tc>
      </w:tr>
      <w:tr w:rsidR="00A5241F" w:rsidRPr="00B72CCC" w14:paraId="72A1DCF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6C554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Consecutivo</w:t>
            </w:r>
          </w:p>
        </w:tc>
        <w:tc>
          <w:tcPr>
            <w:tcW w:w="0" w:type="auto"/>
            <w:tcBorders>
              <w:top w:val="nil"/>
              <w:left w:val="nil"/>
              <w:bottom w:val="single" w:sz="4" w:space="0" w:color="auto"/>
              <w:right w:val="single" w:sz="4" w:space="0" w:color="auto"/>
            </w:tcBorders>
            <w:shd w:val="clear" w:color="000000" w:fill="BFBFBF"/>
            <w:vAlign w:val="bottom"/>
            <w:hideMark/>
          </w:tcPr>
          <w:p w14:paraId="2311882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56</w:t>
            </w:r>
          </w:p>
        </w:tc>
      </w:tr>
      <w:tr w:rsidR="00A5241F" w:rsidRPr="00B72CCC" w14:paraId="7CF17D3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A6FFE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FB3B9F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5EA6243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5E5E7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A5A8B7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5E7C5C0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6C7F16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F83CDD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4802E36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3E3C88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34915F5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25DD593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DA774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251EB39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23D9DB3C" w14:textId="77777777" w:rsidTr="00A5241F">
        <w:trPr>
          <w:trHeight w:val="4176"/>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B3676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892692D" w14:textId="2C29B2D8"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Por las razones anteriores, y con el fin de asegurar que se cumple con la formulación conceptual del modelo, se solicita respetuosamente a la Comisión tener en cuenta la necesidad de la inversión o transformación de las siguientes variables, las cuales tienen una relación inversa con el insumo, es decir, con los costos:</w:t>
            </w:r>
            <w:r w:rsidRPr="00B72CCC">
              <w:rPr>
                <w:rFonts w:ascii="Arial" w:eastAsia="Times New Roman" w:hAnsi="Arial" w:cs="Arial"/>
                <w:color w:val="000000"/>
                <w:sz w:val="20"/>
                <w:szCs w:val="20"/>
                <w:lang w:val="es-CO" w:eastAsia="es-CO"/>
              </w:rPr>
              <w:br w:type="page"/>
              <w:t>• Modelo de costos Administrativos: Suscriptores Industriales y Comerciales.</w:t>
            </w:r>
            <w:r w:rsidRPr="00B72CCC">
              <w:rPr>
                <w:rFonts w:ascii="Arial" w:eastAsia="Times New Roman" w:hAnsi="Arial" w:cs="Arial"/>
                <w:color w:val="000000"/>
                <w:sz w:val="20"/>
                <w:szCs w:val="20"/>
                <w:lang w:val="es-CO" w:eastAsia="es-CO"/>
              </w:rPr>
              <w:br w:type="page"/>
              <w:t>• Modelo de Costos Operativos: Calidad del agua cruda.</w:t>
            </w:r>
            <w:r w:rsidRPr="00B72CCC">
              <w:rPr>
                <w:rFonts w:ascii="Arial" w:eastAsia="Times New Roman" w:hAnsi="Arial" w:cs="Arial"/>
                <w:color w:val="000000"/>
                <w:sz w:val="20"/>
                <w:szCs w:val="20"/>
                <w:lang w:val="es-CO" w:eastAsia="es-CO"/>
              </w:rPr>
              <w:br w:type="page"/>
              <w:t>El análisis de esas variables es el siguiente:</w:t>
            </w:r>
            <w:r w:rsidRPr="00B72CCC">
              <w:rPr>
                <w:rFonts w:ascii="Arial" w:eastAsia="Times New Roman" w:hAnsi="Arial" w:cs="Arial"/>
                <w:color w:val="000000"/>
                <w:sz w:val="20"/>
                <w:szCs w:val="20"/>
                <w:lang w:val="es-CO" w:eastAsia="es-CO"/>
              </w:rPr>
              <w:br w:type="page"/>
              <w:t>De acuerdo con las bases establecidas en la Res. CRA 287 de 2004, la variable de suscriptores industriales y comerciales es que "El supuesto para introducir esta variable es que este grupo de usuario implica un menor esfuerzo de recaudo y atención". De esta manera, dos empresas que tienen todas sus variables iguales, pero una de ellas atiende más suscriptores de las clases de uso industrial y comercial, se espera que tenga</w:t>
            </w:r>
            <w:r w:rsidRPr="00B72CCC">
              <w:rPr>
                <w:rFonts w:ascii="Arial" w:eastAsia="Times New Roman" w:hAnsi="Arial" w:cs="Arial"/>
                <w:color w:val="000000"/>
                <w:sz w:val="20"/>
                <w:szCs w:val="20"/>
                <w:lang w:val="es-CO" w:eastAsia="es-CO"/>
              </w:rPr>
              <w:br w:type="page"/>
              <w:t xml:space="preserve">menores costos de administración. En este sentido, hay una relación inversa entre el insumo y el producto, por lo que se requiere la transformación o inversión de la variable. </w:t>
            </w:r>
            <w:r w:rsidRPr="00B72CCC">
              <w:rPr>
                <w:rFonts w:ascii="Arial" w:eastAsia="Times New Roman" w:hAnsi="Arial" w:cs="Arial"/>
                <w:color w:val="000000"/>
                <w:sz w:val="20"/>
                <w:szCs w:val="20"/>
                <w:lang w:val="es-CO" w:eastAsia="es-CO"/>
              </w:rPr>
              <w:br w:type="page"/>
              <w:t>En relación con la variable calidad del agua cruda, las bases de la resolución CRA 287 de 2004 establecieron que: "Esta se evalúa en un rango de 1 a 4, siendo 4 el valor que representa la mejor calidad del agua. Por lo anterior, la variable entra al modelo con una relación inversa, es decir, el modelo reconoce mayores costos a aquellos prestadores con un indicador de calidad del agua cruda menor". Igualmente, hay una relación inversa entre el insumo y el producto, por lo que se requiere la transformación o inversión de la variable.</w:t>
            </w:r>
          </w:p>
        </w:tc>
      </w:tr>
      <w:tr w:rsidR="00A5241F" w:rsidRPr="00B72CCC" w14:paraId="7E550EF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7BC583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F9265B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1DCE00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2D2D9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03AFBD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5DB575D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18AE30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0834693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Relación Inversa de las Variables</w:t>
            </w:r>
          </w:p>
        </w:tc>
      </w:tr>
      <w:tr w:rsidR="00A5241F" w:rsidRPr="00B72CCC" w14:paraId="092BE60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76938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1071E8E" w14:textId="408349B4"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RECHAZAR</w:t>
            </w:r>
          </w:p>
        </w:tc>
      </w:tr>
      <w:tr w:rsidR="00A5241F" w:rsidRPr="00B72CCC" w14:paraId="67730A8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23ABF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17886AB9" w14:textId="179CE2B1"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Pr>
                <w:rFonts w:ascii="Arial" w:eastAsia="Times New Roman" w:hAnsi="Arial" w:cs="Arial"/>
                <w:color w:val="000000"/>
                <w:sz w:val="20"/>
                <w:szCs w:val="20"/>
                <w:lang w:val="es-CO" w:eastAsia="es-CO"/>
              </w:rPr>
              <w:t>RESPUESTA No.6</w:t>
            </w:r>
          </w:p>
        </w:tc>
      </w:tr>
      <w:tr w:rsidR="00A5241F" w:rsidRPr="00B72CCC" w14:paraId="5F06287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368D12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72C069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57</w:t>
            </w:r>
          </w:p>
        </w:tc>
      </w:tr>
      <w:tr w:rsidR="00A5241F" w:rsidRPr="00B72CCC" w14:paraId="770CC0C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4A89D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896AA3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461EE8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4D0A2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098B754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2A163A2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ADCA3E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D8889A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11C1035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C23D6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3BA00E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1C2B474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4A9281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875041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44D8EA2A" w14:textId="77777777" w:rsidTr="003302C2">
        <w:trPr>
          <w:trHeight w:val="129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35AC6A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C842700" w14:textId="139E6977" w:rsidR="00A5241F" w:rsidRPr="00B72CCC" w:rsidRDefault="00A5241F" w:rsidP="003302C2">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Página</w:t>
            </w:r>
            <w:r w:rsidR="003302C2">
              <w:rPr>
                <w:rFonts w:ascii="Arial" w:eastAsia="Times New Roman" w:hAnsi="Arial" w:cs="Arial"/>
                <w:color w:val="000000"/>
                <w:sz w:val="20"/>
                <w:szCs w:val="20"/>
                <w:lang w:val="es-CO" w:eastAsia="es-CO"/>
              </w:rPr>
              <w:t xml:space="preserve"> </w:t>
            </w:r>
            <w:r w:rsidRPr="00B72CCC">
              <w:rPr>
                <w:rFonts w:ascii="Arial" w:eastAsia="Times New Roman" w:hAnsi="Arial" w:cs="Arial"/>
                <w:color w:val="000000"/>
                <w:sz w:val="20"/>
                <w:szCs w:val="20"/>
                <w:lang w:val="es-CO" w:eastAsia="es-CO"/>
              </w:rPr>
              <w:t>16.</w:t>
            </w:r>
            <w:r w:rsidRPr="00B72CCC">
              <w:rPr>
                <w:rFonts w:ascii="Arial" w:eastAsia="Times New Roman" w:hAnsi="Arial" w:cs="Arial"/>
                <w:color w:val="000000"/>
                <w:sz w:val="20"/>
                <w:szCs w:val="20"/>
                <w:lang w:val="es-CO" w:eastAsia="es-CO"/>
              </w:rPr>
              <w:br/>
              <w:t>Dados los anteriores análisis, se solicita respetuosamente a la Comisión que se mantenga la solución del problema como se ha definido en la Resolución CRA 688 de 2014, es decir, el establecimiento de los puntajes DEA sin recurrir a la trasformación del problema en su problema dual con la inversión de variables y definición de la característica de controlabilidad de los "insumos", lo cual se haría necesario en este enfoque de solución que no ha sido incluido en la norma vigente la Res. CR 688 de 2014.</w:t>
            </w:r>
          </w:p>
        </w:tc>
      </w:tr>
      <w:tr w:rsidR="00A5241F" w:rsidRPr="00B72CCC" w14:paraId="3547C39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9C2BD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249D39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7CAFA4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2843D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2CC0495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7ECA007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0EF736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D2BA79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7DBC97E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68175B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F8D60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5B86A8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1C144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1B425A15" w14:textId="4ECB434A"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3302C2">
              <w:rPr>
                <w:rFonts w:ascii="Arial" w:eastAsia="Times New Roman" w:hAnsi="Arial" w:cs="Arial"/>
                <w:color w:val="000000"/>
                <w:sz w:val="20"/>
                <w:szCs w:val="20"/>
                <w:lang w:val="es-CO" w:eastAsia="es-CO"/>
              </w:rPr>
              <w:t>RESPUESTA No.3</w:t>
            </w:r>
          </w:p>
        </w:tc>
      </w:tr>
      <w:tr w:rsidR="00A5241F" w:rsidRPr="00B72CCC" w14:paraId="2AB1EA0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F18A2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84E9B8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58</w:t>
            </w:r>
          </w:p>
        </w:tc>
      </w:tr>
      <w:tr w:rsidR="00A5241F" w:rsidRPr="00B72CCC" w14:paraId="3C8B89F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66AFF4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1D03B9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0FCEFDC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38AEB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99337C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1B20050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2EB394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5020FA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485F9D7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66D218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13ABFEE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3B4BFDD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29CAF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395CE1B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5147D67" w14:textId="77777777" w:rsidTr="003302C2">
        <w:trPr>
          <w:trHeight w:val="63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D565BE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510803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Página 19 y 20.</w:t>
            </w:r>
            <w:r w:rsidRPr="00B72CCC">
              <w:rPr>
                <w:rFonts w:ascii="Arial" w:eastAsia="Times New Roman" w:hAnsi="Arial" w:cs="Arial"/>
                <w:color w:val="000000"/>
                <w:sz w:val="20"/>
                <w:szCs w:val="20"/>
                <w:lang w:val="es-CO" w:eastAsia="es-CO"/>
              </w:rPr>
              <w:br/>
              <w:t>Se solicita respetuosamente a la Comisión que: Se publique la memoria de cálculo de los costos base de administración y operación con el fin de verificar los elementos incorporados en dicho cálculo.</w:t>
            </w:r>
            <w:r w:rsidRPr="00B72CCC">
              <w:rPr>
                <w:rFonts w:ascii="Arial" w:eastAsia="Times New Roman" w:hAnsi="Arial" w:cs="Arial"/>
                <w:color w:val="000000"/>
                <w:sz w:val="20"/>
                <w:szCs w:val="20"/>
                <w:lang w:val="es-CO" w:eastAsia="es-CO"/>
              </w:rPr>
              <w:br/>
              <w:t>• Se incorpore en el cálculo de estas variables el costo de oportunidad del capital necesario en los activos administrativos y operativos en los términos que ordenan los artículos de la Resolución CRA 688 de 2014: artículo 27, literal g, para el caso de costos administrativos; y artículo 34, literal k para el caso de costos operativos.</w:t>
            </w:r>
            <w:r w:rsidRPr="00B72CCC">
              <w:rPr>
                <w:rFonts w:ascii="Arial" w:eastAsia="Times New Roman" w:hAnsi="Arial" w:cs="Arial"/>
                <w:color w:val="000000"/>
                <w:sz w:val="20"/>
                <w:szCs w:val="20"/>
                <w:lang w:val="es-CO" w:eastAsia="es-CO"/>
              </w:rPr>
              <w:br/>
              <w:t>• Se tenga en cuenta dentro del cálculo de la remuneración de los activos administrativos, los saldos de cuentas operativas trasladados del CO al CA, los cuales se encuentran reportados en el formato Excel de la SSPD en las hojas "Anexo Costos 2013" y "Anexo Costos 2014".</w:t>
            </w:r>
          </w:p>
        </w:tc>
      </w:tr>
      <w:tr w:rsidR="00A5241F" w:rsidRPr="00B72CCC" w14:paraId="31A1300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E1B98B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3BE2BC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1D9A53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FBD519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CF0EDA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76B5EAA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5A3F38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DC2D6C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Remuneración de activos administrativos y operativos</w:t>
            </w:r>
          </w:p>
        </w:tc>
      </w:tr>
      <w:tr w:rsidR="00A5241F" w:rsidRPr="00B72CCC" w14:paraId="529FD53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BF8E80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6E963A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6B49163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C405A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31AEED3" w14:textId="11A1C459"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53119">
              <w:rPr>
                <w:rFonts w:ascii="Arial" w:eastAsia="Times New Roman" w:hAnsi="Arial" w:cs="Arial"/>
                <w:color w:val="000000"/>
                <w:sz w:val="20"/>
                <w:szCs w:val="20"/>
                <w:lang w:val="es-CO" w:eastAsia="es-CO"/>
              </w:rPr>
              <w:t>RESPUESTA No.4</w:t>
            </w:r>
          </w:p>
        </w:tc>
      </w:tr>
      <w:tr w:rsidR="00A5241F" w:rsidRPr="00B72CCC" w14:paraId="250DA95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DE5A4F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DF6EDC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59</w:t>
            </w:r>
          </w:p>
        </w:tc>
      </w:tr>
      <w:tr w:rsidR="00A5241F" w:rsidRPr="00B72CCC" w14:paraId="5A77EEE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27311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2935D8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25CE3F0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147B6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ACF828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679FB6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555AF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098FAAF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19CC7C3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527545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0DC2D8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6B8888C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C6762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CB01E5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FF0BBCA" w14:textId="77777777" w:rsidTr="00553119">
        <w:trPr>
          <w:trHeight w:val="163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F43BB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07A2E9D1" w14:textId="5F253165" w:rsidR="00A5241F" w:rsidRPr="00B72CCC" w:rsidRDefault="00A5241F" w:rsidP="00553119">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Páginas 21, 22, 23, 24.  </w:t>
            </w:r>
            <w:r w:rsidRPr="00B72CCC">
              <w:rPr>
                <w:rFonts w:ascii="Arial" w:eastAsia="Times New Roman" w:hAnsi="Arial" w:cs="Arial"/>
                <w:color w:val="000000"/>
                <w:sz w:val="20"/>
                <w:szCs w:val="20"/>
                <w:lang w:val="es-CO" w:eastAsia="es-CO"/>
              </w:rPr>
              <w:br w:type="page"/>
              <w:t>Solicitud a la Comisión</w:t>
            </w:r>
            <w:r w:rsidRPr="00B72CCC">
              <w:rPr>
                <w:rFonts w:ascii="Arial" w:eastAsia="Times New Roman" w:hAnsi="Arial" w:cs="Arial"/>
                <w:color w:val="000000"/>
                <w:sz w:val="20"/>
                <w:szCs w:val="20"/>
                <w:lang w:val="es-CO" w:eastAsia="es-CO"/>
              </w:rPr>
              <w:br w:type="page"/>
              <w:t>• Dados los anteriores argumentos en el sentido de que: i) La remuneración de los activos es un costo adoptado por la regulación; ii) La combinación eficiente de los diferentes insumos debe tener en cuenta el costo total de cada insumo; iii) Si se excluye el costo de oportunidad del capital, se pueden afectar los puntajes de eficiencia según el nivel de uso del insumo capital; se solicita respetuosamente a la Comisión que se calcule un solo valor del Costo Base de Administración CAb, en el cual se incorpore el costo de oportunidad del capital como está previsto en el literal g del artículo 26 de la Res. CRA 688 de 2014.</w:t>
            </w:r>
            <w:r w:rsidRPr="00B72CCC">
              <w:rPr>
                <w:rFonts w:ascii="Arial" w:eastAsia="Times New Roman" w:hAnsi="Arial" w:cs="Arial"/>
                <w:color w:val="000000"/>
                <w:sz w:val="20"/>
                <w:szCs w:val="20"/>
                <w:lang w:val="es-CO" w:eastAsia="es-CO"/>
              </w:rPr>
              <w:br w:type="page"/>
              <w:t>• Por las mismas razones, se solicita respetuosamente a la Comisión que se calcule un solo valor del Costo Base de Operación C</w:t>
            </w:r>
            <w:r w:rsidR="00553119">
              <w:rPr>
                <w:rFonts w:ascii="Arial" w:eastAsia="Times New Roman" w:hAnsi="Arial" w:cs="Arial"/>
                <w:color w:val="000000"/>
                <w:sz w:val="20"/>
                <w:szCs w:val="20"/>
                <w:lang w:val="es-CO" w:eastAsia="es-CO"/>
              </w:rPr>
              <w:t>O</w:t>
            </w:r>
            <w:r w:rsidRPr="00B72CCC">
              <w:rPr>
                <w:rFonts w:ascii="Arial" w:eastAsia="Times New Roman" w:hAnsi="Arial" w:cs="Arial"/>
                <w:color w:val="000000"/>
                <w:sz w:val="20"/>
                <w:szCs w:val="20"/>
                <w:lang w:val="es-CO" w:eastAsia="es-CO"/>
              </w:rPr>
              <w:t>b, en el cual se incorpore el costo de oportunidad del capital como está previsto en el literal k del artículo 34 de resolución CRA 688 de 2014.</w:t>
            </w:r>
          </w:p>
        </w:tc>
      </w:tr>
      <w:tr w:rsidR="00A5241F" w:rsidRPr="00B72CCC" w14:paraId="6F0EB6A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160E51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D41596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B1B600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2820B6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1FBFCB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4CDD8A4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43F110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27E285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Remuneración de activos administrativos y operativos</w:t>
            </w:r>
          </w:p>
        </w:tc>
      </w:tr>
      <w:tr w:rsidR="00A5241F" w:rsidRPr="00B72CCC" w14:paraId="4AA2F38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0EEAB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94F19F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4C7E963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864D4E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F49C7B0" w14:textId="4C105EA3"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53119">
              <w:rPr>
                <w:rFonts w:ascii="Arial" w:eastAsia="Times New Roman" w:hAnsi="Arial" w:cs="Arial"/>
                <w:color w:val="000000"/>
                <w:sz w:val="20"/>
                <w:szCs w:val="20"/>
                <w:lang w:val="es-CO" w:eastAsia="es-CO"/>
              </w:rPr>
              <w:t>RESPUESTA No.4</w:t>
            </w:r>
          </w:p>
        </w:tc>
      </w:tr>
      <w:tr w:rsidR="00A5241F" w:rsidRPr="00B72CCC" w14:paraId="70DB4AB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F5659D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EC118A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60</w:t>
            </w:r>
          </w:p>
        </w:tc>
      </w:tr>
      <w:tr w:rsidR="00A5241F" w:rsidRPr="00B72CCC" w14:paraId="055593A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7CECB2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4353EA7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62956C9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0EDDD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860547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27C3E6A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974A7E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B599C0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247E1BA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17559C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E022CD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7BF6619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4F6B0D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6EA777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229713C" w14:textId="77777777" w:rsidTr="00561231">
        <w:trPr>
          <w:trHeight w:val="752"/>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60A57F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45DC5EB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Se pregunta respetuosamente a la Comisión que:</w:t>
            </w:r>
            <w:r w:rsidRPr="00B72CCC">
              <w:rPr>
                <w:rFonts w:ascii="Arial" w:eastAsia="Times New Roman" w:hAnsi="Arial" w:cs="Arial"/>
                <w:color w:val="000000"/>
                <w:sz w:val="20"/>
                <w:szCs w:val="20"/>
                <w:lang w:val="es-CO" w:eastAsia="es-CO"/>
              </w:rPr>
              <w:br/>
              <w:t>• Por qué razón no se publican los puntajes de eficiencia comparada DEA de las empresas que conforman el grupo básico.</w:t>
            </w:r>
            <w:r w:rsidRPr="00B72CCC">
              <w:rPr>
                <w:rFonts w:ascii="Arial" w:eastAsia="Times New Roman" w:hAnsi="Arial" w:cs="Arial"/>
                <w:color w:val="000000"/>
                <w:sz w:val="20"/>
                <w:szCs w:val="20"/>
                <w:lang w:val="es-CO" w:eastAsia="es-CO"/>
              </w:rPr>
              <w:br/>
              <w:t>• Se solicita a la Comisión que se presenten las razones por las cuales se omite la publicación de los puntajes de eficiencia comparada DEA para cada una de las Empresas que conforman el grupo básico?</w:t>
            </w:r>
          </w:p>
        </w:tc>
      </w:tr>
      <w:tr w:rsidR="00A5241F" w:rsidRPr="00B72CCC" w14:paraId="694991E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E9E8D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A960BA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0D400F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6E55F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1E45D1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609A2A4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035D3C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0C096CA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Publicación de puntajes y del detalle de los cálculos</w:t>
            </w:r>
          </w:p>
        </w:tc>
      </w:tr>
      <w:tr w:rsidR="00A5241F" w:rsidRPr="00B72CCC" w14:paraId="1574FF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55611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77B04D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307D8D5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478AEB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64D3E824" w14:textId="2808B378"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61231">
              <w:rPr>
                <w:rFonts w:ascii="Arial" w:eastAsia="Times New Roman" w:hAnsi="Arial" w:cs="Arial"/>
                <w:color w:val="000000"/>
                <w:sz w:val="20"/>
                <w:szCs w:val="20"/>
                <w:lang w:val="es-CO" w:eastAsia="es-CO"/>
              </w:rPr>
              <w:t>RESPUESTA No.10</w:t>
            </w:r>
          </w:p>
        </w:tc>
      </w:tr>
      <w:tr w:rsidR="00A5241F" w:rsidRPr="00B72CCC" w14:paraId="2D5C67A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A4EBE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0FB8CF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61</w:t>
            </w:r>
          </w:p>
        </w:tc>
      </w:tr>
      <w:tr w:rsidR="00A5241F" w:rsidRPr="00B72CCC" w14:paraId="1AC3B27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D005B4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1BAEA8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3EB46E4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0A2DB1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2BB18D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565D155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AF898C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1E08E59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722763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08A6F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2FAFF7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5D973EC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C334F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77639E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E40A768" w14:textId="77777777" w:rsidTr="00CE608B">
        <w:trPr>
          <w:trHeight w:val="924"/>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E507AE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4087367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Se solicita respetuosamente a la Comisión que:</w:t>
            </w:r>
            <w:r w:rsidRPr="00B72CCC">
              <w:rPr>
                <w:rFonts w:ascii="Arial" w:eastAsia="Times New Roman" w:hAnsi="Arial" w:cs="Arial"/>
                <w:color w:val="000000"/>
                <w:sz w:val="20"/>
                <w:szCs w:val="20"/>
                <w:lang w:val="es-CO" w:eastAsia="es-CO"/>
              </w:rPr>
              <w:br w:type="page"/>
              <w:t>• Así como se publican los valores de las variables "Costos administrativos eficientes estándar por suscriptor mensual" y "Costos operativos comparables eficientes estándar por suscriptor mensual", para cada una de las Empresas que hacen parte del grupo básico, se publiquen los puntajes de eficiencia comparada de cada una de estas empresas.</w:t>
            </w:r>
          </w:p>
        </w:tc>
      </w:tr>
      <w:tr w:rsidR="00A5241F" w:rsidRPr="00B72CCC" w14:paraId="53671C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62FB2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D49CDC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CF4998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C2638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D71AC8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023F7B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B1910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D16797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Publicación de puntajes y del detalle de los cálculos</w:t>
            </w:r>
          </w:p>
        </w:tc>
      </w:tr>
      <w:tr w:rsidR="00A5241F" w:rsidRPr="00B72CCC" w14:paraId="5DF5BCE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62E50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4F9CB3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2DC0178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5C74B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0F62396" w14:textId="6ADD52F3"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61231">
              <w:rPr>
                <w:rFonts w:ascii="Arial" w:eastAsia="Times New Roman" w:hAnsi="Arial" w:cs="Arial"/>
                <w:color w:val="000000"/>
                <w:sz w:val="20"/>
                <w:szCs w:val="20"/>
                <w:lang w:val="es-CO" w:eastAsia="es-CO"/>
              </w:rPr>
              <w:t>RESPUESTA No.10</w:t>
            </w:r>
          </w:p>
        </w:tc>
      </w:tr>
      <w:tr w:rsidR="00A5241F" w:rsidRPr="00B72CCC" w14:paraId="0CFAC11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54189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E415F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62</w:t>
            </w:r>
          </w:p>
        </w:tc>
      </w:tr>
      <w:tr w:rsidR="00A5241F" w:rsidRPr="00B72CCC" w14:paraId="3AF5128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CE83A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F9D272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7AB2524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6D4F12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23447C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1B1DBB3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60AE4A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0AF2AE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2616AD5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EA529B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13D41E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45604C6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03A0D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93E481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51C234E8" w14:textId="77777777" w:rsidTr="00CE608B">
        <w:trPr>
          <w:trHeight w:val="8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60188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3990E3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Páginas 25, 26 y 27.</w:t>
            </w:r>
            <w:r w:rsidRPr="00B72CCC">
              <w:rPr>
                <w:rFonts w:ascii="Arial" w:eastAsia="Times New Roman" w:hAnsi="Arial" w:cs="Arial"/>
                <w:color w:val="000000"/>
                <w:sz w:val="20"/>
                <w:szCs w:val="20"/>
                <w:lang w:val="es-CO" w:eastAsia="es-CO"/>
              </w:rPr>
              <w:br/>
              <w:t>Se solicita respetuosamente a la Comisión:</w:t>
            </w:r>
            <w:r w:rsidRPr="00B72CCC">
              <w:rPr>
                <w:rFonts w:ascii="Arial" w:eastAsia="Times New Roman" w:hAnsi="Arial" w:cs="Arial"/>
                <w:color w:val="000000"/>
                <w:sz w:val="20"/>
                <w:szCs w:val="20"/>
                <w:lang w:val="es-CO" w:eastAsia="es-CO"/>
              </w:rPr>
              <w:br/>
              <w:t>• Validar la forma en que se calcula el índice de calidad del agua cruda, para casos en los cuales las empresa obtienen un puntaje de 4,00 dado que es probable que obtengan este resultado por efecto del no reporte de información de los parámetros de calidad de cada fuente en el SUI durante los años 2013-2014.</w:t>
            </w:r>
            <w:r w:rsidRPr="00B72CCC">
              <w:rPr>
                <w:rFonts w:ascii="Arial" w:eastAsia="Times New Roman" w:hAnsi="Arial" w:cs="Arial"/>
                <w:color w:val="000000"/>
                <w:sz w:val="20"/>
                <w:szCs w:val="20"/>
                <w:lang w:val="es-CO" w:eastAsia="es-CO"/>
              </w:rPr>
              <w:br/>
              <w:t>• Presentar en el documento de trabajo, la memoria de cálculo del índice de calidad del agua cruda publicado en la Resolución CRA 791 de 2017 para la EAB-ESP, especificando las razones por las cuales se debió cambiar este dato y soportar el por qué se obtiene un resultado por debajo de uno (1) para el caso de la EAB.</w:t>
            </w:r>
          </w:p>
        </w:tc>
      </w:tr>
      <w:tr w:rsidR="00A5241F" w:rsidRPr="00B72CCC" w14:paraId="28DCD90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27490A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CDE57D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E9E4D7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B7DC59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313187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23AE299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A0DDB7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0A84D6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Revisión del valor de las variables del modelo</w:t>
            </w:r>
          </w:p>
        </w:tc>
      </w:tr>
      <w:tr w:rsidR="00A5241F" w:rsidRPr="00B72CCC" w14:paraId="23AB042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7EFA3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15136A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16056A2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2CC2C2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1DC7D364" w14:textId="7EAD4B9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CE608B">
              <w:rPr>
                <w:rFonts w:ascii="Arial" w:eastAsia="Times New Roman" w:hAnsi="Arial" w:cs="Arial"/>
                <w:color w:val="000000"/>
                <w:sz w:val="20"/>
                <w:szCs w:val="20"/>
                <w:lang w:val="es-CO" w:eastAsia="es-CO"/>
              </w:rPr>
              <w:t>RESPUESTA No.5</w:t>
            </w:r>
          </w:p>
        </w:tc>
      </w:tr>
      <w:tr w:rsidR="00A5241F" w:rsidRPr="00B72CCC" w14:paraId="76CBB1E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8C58D2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DC4826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63</w:t>
            </w:r>
          </w:p>
        </w:tc>
      </w:tr>
      <w:tr w:rsidR="00A5241F" w:rsidRPr="00B72CCC" w14:paraId="515F3DF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761C3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125C76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7A22313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DD80EB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4B90C8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3E36FD6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CC60DC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50B513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7672C54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EA507A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7C236F5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5B14936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C08087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B38BF6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4D2BAA6C" w14:textId="77777777" w:rsidTr="00513AD3">
        <w:trPr>
          <w:trHeight w:val="34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6802A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143B976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Se pregunta respetuosamente a la Comisión que:</w:t>
            </w:r>
            <w:r w:rsidRPr="00B72CCC">
              <w:rPr>
                <w:rFonts w:ascii="Arial" w:eastAsia="Times New Roman" w:hAnsi="Arial" w:cs="Arial"/>
                <w:color w:val="000000"/>
                <w:sz w:val="20"/>
                <w:szCs w:val="20"/>
                <w:lang w:val="es-CO" w:eastAsia="es-CO"/>
              </w:rPr>
              <w:br/>
              <w:t xml:space="preserve">• Cuál es el sustento teórico de la metodología seguida por la Comisión para determinar </w:t>
            </w:r>
            <w:r w:rsidRPr="00B72CCC">
              <w:rPr>
                <w:rFonts w:ascii="Arial" w:eastAsia="Times New Roman" w:hAnsi="Arial" w:cs="Arial"/>
                <w:color w:val="000000"/>
                <w:sz w:val="20"/>
                <w:szCs w:val="20"/>
                <w:lang w:val="es-CO" w:eastAsia="es-CO"/>
              </w:rPr>
              <w:lastRenderedPageBreak/>
              <w:t>las particularidades no captadas? Por qué esa metodología es idónea para medir las "particularidades no captadas" por los modelos DEA?</w:t>
            </w:r>
          </w:p>
        </w:tc>
      </w:tr>
      <w:tr w:rsidR="00A5241F" w:rsidRPr="00B72CCC" w14:paraId="5C0E173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F35DBE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0432C7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1BA28B5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39C88B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736C7F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534501B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5C7D04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D8D5D6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Particularidades No Captadas</w:t>
            </w:r>
          </w:p>
        </w:tc>
      </w:tr>
      <w:tr w:rsidR="00A5241F" w:rsidRPr="00B72CCC" w14:paraId="384EEA1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95EFC3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BFF32D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2E0DF8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76D81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84D71A7" w14:textId="54BF81E2"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13AD3">
              <w:rPr>
                <w:rFonts w:ascii="Arial" w:eastAsia="Times New Roman" w:hAnsi="Arial" w:cs="Arial"/>
                <w:color w:val="000000"/>
                <w:sz w:val="20"/>
                <w:szCs w:val="20"/>
                <w:lang w:val="es-CO" w:eastAsia="es-CO"/>
              </w:rPr>
              <w:t>RESPUESTA No.7</w:t>
            </w:r>
          </w:p>
        </w:tc>
      </w:tr>
      <w:tr w:rsidR="00A5241F" w:rsidRPr="00B72CCC" w14:paraId="59AC2CB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901130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94365F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64</w:t>
            </w:r>
          </w:p>
        </w:tc>
      </w:tr>
      <w:tr w:rsidR="00A5241F" w:rsidRPr="00B72CCC" w14:paraId="2A88707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3D57B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55A76B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19A7847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5065E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A62C18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5D31047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A912E4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EA864D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5B6BB18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850ED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7971E2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36C013E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D86643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37BF08C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0A4A556" w14:textId="77777777" w:rsidTr="00513AD3">
        <w:trPr>
          <w:trHeight w:val="94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1C96B4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7263AA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Se pregunta respetuosamente a la Comisión que:</w:t>
            </w:r>
            <w:r w:rsidRPr="00B72CCC">
              <w:rPr>
                <w:rFonts w:ascii="Arial" w:eastAsia="Times New Roman" w:hAnsi="Arial" w:cs="Arial"/>
                <w:color w:val="000000"/>
                <w:sz w:val="20"/>
                <w:szCs w:val="20"/>
                <w:lang w:val="es-CO" w:eastAsia="es-CO"/>
              </w:rPr>
              <w:br/>
              <w:t>Con qué muestra de empresas se realizó el análisis de sensibilidad para determinar las particularidades no captadas? Cuáles son los criterios para la selección de la muestra con la que se hacen los análisis de sensibilidad? Por qué razón dichos análisis de sensibilidad solo incluyen las empresas del grupo básico? Por qué no se incluyen otras empresas fuera del grupo básico como se hizo para el cálculo de este parámetro en el caso de la Res. CRA 287 de 2004?</w:t>
            </w:r>
          </w:p>
        </w:tc>
      </w:tr>
      <w:tr w:rsidR="00A5241F" w:rsidRPr="00B72CCC" w14:paraId="2967DF3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67931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B835BD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8D036E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EA0D6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E100D0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2D4497C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D838A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60014F1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Particularidades No Captadas</w:t>
            </w:r>
          </w:p>
        </w:tc>
      </w:tr>
      <w:tr w:rsidR="00A5241F" w:rsidRPr="00B72CCC" w14:paraId="4104246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B7E6B8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BEFFE8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24D1CE9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F59FC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8000BCF" w14:textId="7B857FFB"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13AD3">
              <w:rPr>
                <w:rFonts w:ascii="Arial" w:eastAsia="Times New Roman" w:hAnsi="Arial" w:cs="Arial"/>
                <w:color w:val="000000"/>
                <w:sz w:val="20"/>
                <w:szCs w:val="20"/>
                <w:lang w:val="es-CO" w:eastAsia="es-CO"/>
              </w:rPr>
              <w:t>RESPUESTA No.7</w:t>
            </w:r>
          </w:p>
        </w:tc>
      </w:tr>
      <w:tr w:rsidR="00A5241F" w:rsidRPr="00B72CCC" w14:paraId="5693D80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FEFD1F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E560F4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65</w:t>
            </w:r>
          </w:p>
        </w:tc>
      </w:tr>
      <w:tr w:rsidR="00A5241F" w:rsidRPr="00B72CCC" w14:paraId="1139376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0D34CD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4538058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1D926EE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0F5F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7D0BA9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672829F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B52AC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236B0C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39AB63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DDDB1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7C2BDC3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3BC7FC5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0B561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70F32B1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6FE870E" w14:textId="77777777" w:rsidTr="00513AD3">
        <w:trPr>
          <w:trHeight w:val="55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227CB3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4BAB559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Se pregunta respetuosamente a la Comisión que:</w:t>
            </w:r>
            <w:r w:rsidRPr="00B72CCC">
              <w:rPr>
                <w:rFonts w:ascii="Arial" w:eastAsia="Times New Roman" w:hAnsi="Arial" w:cs="Arial"/>
                <w:color w:val="000000"/>
                <w:sz w:val="20"/>
                <w:szCs w:val="20"/>
                <w:lang w:val="es-CO" w:eastAsia="es-CO"/>
              </w:rPr>
              <w:br/>
              <w:t>Se observa que las variaciones promedio de los puntajes DEA a la exclusión de cada una de las variables es en ocasiones positiva y en ocasiones negativa. Aparéntenme el promedio final se hace con los valores absolutos (es decir con signo positivo en todos los casos). Cuál es el sustento para ello?</w:t>
            </w:r>
          </w:p>
        </w:tc>
      </w:tr>
      <w:tr w:rsidR="00A5241F" w:rsidRPr="00B72CCC" w14:paraId="12F2F33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D8FD35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41AC883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31EE42F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6925C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5DBF26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364A119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8BBB6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7A0FE5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Particularidades No Captadas</w:t>
            </w:r>
          </w:p>
        </w:tc>
      </w:tr>
      <w:tr w:rsidR="00A5241F" w:rsidRPr="00B72CCC" w14:paraId="3E2B7A5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292B53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13EB82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3731034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5017B6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44E8EF4C" w14:textId="4E38F638"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13AD3">
              <w:rPr>
                <w:rFonts w:ascii="Arial" w:eastAsia="Times New Roman" w:hAnsi="Arial" w:cs="Arial"/>
                <w:color w:val="000000"/>
                <w:sz w:val="20"/>
                <w:szCs w:val="20"/>
                <w:lang w:val="es-CO" w:eastAsia="es-CO"/>
              </w:rPr>
              <w:t>RESPUESTA No.7</w:t>
            </w:r>
          </w:p>
        </w:tc>
      </w:tr>
      <w:tr w:rsidR="00A5241F" w:rsidRPr="00B72CCC" w14:paraId="6D4E423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56F43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8E3916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66</w:t>
            </w:r>
          </w:p>
        </w:tc>
      </w:tr>
      <w:tr w:rsidR="00A5241F" w:rsidRPr="00B72CCC" w14:paraId="01C2489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4FD08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6FF0DD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404D388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66D89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590D52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47F19B7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D7DFE8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1599CA4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65DE113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E5513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A69549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7B8C728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487E2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F1D211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5C2B9DE5" w14:textId="77777777" w:rsidTr="00513AD3">
        <w:trPr>
          <w:trHeight w:val="1054"/>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11D3A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4F23D7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Al respecto se pregunta respetuosamente a la Comisión:</w:t>
            </w:r>
            <w:r w:rsidRPr="00B72CCC">
              <w:rPr>
                <w:rFonts w:ascii="Arial" w:eastAsia="Times New Roman" w:hAnsi="Arial" w:cs="Arial"/>
                <w:color w:val="000000"/>
                <w:sz w:val="20"/>
                <w:szCs w:val="20"/>
                <w:lang w:val="es-CO" w:eastAsia="es-CO"/>
              </w:rPr>
              <w:br w:type="page"/>
              <w:t>• Cuál es la razón para que, por efecto de la adopción de los puntajes de eficiencia comparada, se deba introducir una modificación al cálculo de estas variables cuya formulación fue definida en la Res. CRA 688 de 2014? Qué objetivos se persiguen con esta medida? Por qué razón la sustentación de esta medida no se incluyó en el documento de trabajo?</w:t>
            </w:r>
            <w:r w:rsidRPr="00B72CCC">
              <w:rPr>
                <w:rFonts w:ascii="Arial" w:eastAsia="Times New Roman" w:hAnsi="Arial" w:cs="Arial"/>
                <w:color w:val="000000"/>
                <w:sz w:val="20"/>
                <w:szCs w:val="20"/>
                <w:lang w:val="es-CO" w:eastAsia="es-CO"/>
              </w:rPr>
              <w:br w:type="page"/>
              <w:t>• Cuando en el numeral 4 de estos artículos se dice "La diferencia calculada en el numeral anterior se incrementará o disminuirá, según corresponda, ...", el término "según corresponda" se refiere a que se debe sumar si es positivo o restar si es positivo?</w:t>
            </w:r>
          </w:p>
        </w:tc>
      </w:tr>
      <w:tr w:rsidR="00A5241F" w:rsidRPr="00B72CCC" w14:paraId="15C3E1C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553A7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0B11D7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63D7A5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B8713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3CDB5AF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5584701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8C2A4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F40017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Ajuste a la fórmula tarifaria</w:t>
            </w:r>
          </w:p>
        </w:tc>
      </w:tr>
      <w:tr w:rsidR="00A5241F" w:rsidRPr="00B72CCC" w14:paraId="59ACABA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CC2D8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7FC00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69D575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43295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B960DD4" w14:textId="2C74444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EB1E5C">
              <w:rPr>
                <w:rFonts w:ascii="Arial" w:eastAsia="Times New Roman" w:hAnsi="Arial" w:cs="Arial"/>
                <w:color w:val="000000"/>
                <w:sz w:val="20"/>
                <w:szCs w:val="20"/>
                <w:lang w:val="es-CO" w:eastAsia="es-CO"/>
              </w:rPr>
              <w:t>RESPUESTA No.8</w:t>
            </w:r>
          </w:p>
        </w:tc>
      </w:tr>
      <w:tr w:rsidR="00A5241F" w:rsidRPr="00B72CCC" w14:paraId="7A4DD97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D2C1F2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0B3519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67</w:t>
            </w:r>
          </w:p>
        </w:tc>
      </w:tr>
      <w:tr w:rsidR="00A5241F" w:rsidRPr="00B72CCC" w14:paraId="7582F7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9C41E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09955F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448719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62F01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AA0C3D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14CD41C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FC6F1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83F05C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4EE11CA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161B97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3D144D2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7C07663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D15D93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3A3AC79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4B605C1" w14:textId="77777777" w:rsidTr="00EB1E5C">
        <w:trPr>
          <w:trHeight w:val="24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2E9F41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44636E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Se solicita respetuosamente a la Comisión:</w:t>
            </w:r>
            <w:r w:rsidRPr="00B72CCC">
              <w:rPr>
                <w:rFonts w:ascii="Arial" w:eastAsia="Times New Roman" w:hAnsi="Arial" w:cs="Arial"/>
                <w:color w:val="000000"/>
                <w:sz w:val="20"/>
                <w:szCs w:val="20"/>
                <w:lang w:val="es-CO" w:eastAsia="es-CO"/>
              </w:rPr>
              <w:br/>
              <w:t>• Presentar la evaluación de la Comisión acerca de si estos artículos corresponden a una modificación de la fórmula de la Res. CRA 688 de 2014, lo cual sería contrario a la regla de estabilidad tarifaria consagrada en el artículo 126 de la Ley 142 de 1994.</w:t>
            </w:r>
          </w:p>
        </w:tc>
      </w:tr>
      <w:tr w:rsidR="00A5241F" w:rsidRPr="00B72CCC" w14:paraId="216BB1D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0786E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29CFBBF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D99F6E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B92C2F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84EAEF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95A7B2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6A2650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F0A4DE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Ajuste a la fórmula tarifaria</w:t>
            </w:r>
          </w:p>
        </w:tc>
      </w:tr>
      <w:tr w:rsidR="00A5241F" w:rsidRPr="00B72CCC" w14:paraId="41C906C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32FC1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1FD699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DC0811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168F6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487832E" w14:textId="6D58F082"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EB1E5C">
              <w:rPr>
                <w:rFonts w:ascii="Arial" w:eastAsia="Times New Roman" w:hAnsi="Arial" w:cs="Arial"/>
                <w:color w:val="000000"/>
                <w:sz w:val="20"/>
                <w:szCs w:val="20"/>
                <w:lang w:val="es-CO" w:eastAsia="es-CO"/>
              </w:rPr>
              <w:t>RESPUESTA No.8</w:t>
            </w:r>
          </w:p>
        </w:tc>
      </w:tr>
      <w:tr w:rsidR="00A5241F" w:rsidRPr="00B72CCC" w14:paraId="792E152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D24E8C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C02240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68</w:t>
            </w:r>
          </w:p>
        </w:tc>
      </w:tr>
      <w:tr w:rsidR="00A5241F" w:rsidRPr="00B72CCC" w14:paraId="5BC0569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7EEAB4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A2D6D2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07CD4D4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CC6C34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03DA41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5DD93DB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1AF39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7009EC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0562B10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220AEF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AE59A7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07F6112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62D1FA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7C23E43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2BE20EB" w14:textId="77777777" w:rsidTr="00EB1E5C">
        <w:trPr>
          <w:trHeight w:val="174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FDE26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7E3A1AB" w14:textId="305CDBB0" w:rsidR="00A5241F" w:rsidRPr="00B72CCC" w:rsidRDefault="00EB1E5C" w:rsidP="00A5241F">
            <w:pPr>
              <w:suppressAutoHyphens w:val="0"/>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S</w:t>
            </w:r>
            <w:r w:rsidR="00A5241F" w:rsidRPr="00B72CCC">
              <w:rPr>
                <w:rFonts w:ascii="Arial" w:eastAsia="Times New Roman" w:hAnsi="Arial" w:cs="Arial"/>
                <w:color w:val="000000"/>
                <w:sz w:val="20"/>
                <w:szCs w:val="20"/>
                <w:lang w:val="es-CO" w:eastAsia="es-CO"/>
              </w:rPr>
              <w:t>e solicita respetuosamente a la Comisión:</w:t>
            </w:r>
            <w:r w:rsidR="00A5241F" w:rsidRPr="00B72CCC">
              <w:rPr>
                <w:rFonts w:ascii="Arial" w:eastAsia="Times New Roman" w:hAnsi="Arial" w:cs="Arial"/>
                <w:color w:val="000000"/>
                <w:sz w:val="20"/>
                <w:szCs w:val="20"/>
                <w:lang w:val="es-CO" w:eastAsia="es-CO"/>
              </w:rPr>
              <w:br w:type="page"/>
              <w:t>• Que se haga la revisión del plazo de participación en los términos que prevé el Decreto 1077 de 2015 cuando se trata de proyectos de resolución que definen fórmulas tarifarias.</w:t>
            </w:r>
            <w:r w:rsidR="00A5241F" w:rsidRPr="00B72CCC">
              <w:rPr>
                <w:rFonts w:ascii="Arial" w:eastAsia="Times New Roman" w:hAnsi="Arial" w:cs="Arial"/>
                <w:color w:val="000000"/>
                <w:sz w:val="20"/>
                <w:szCs w:val="20"/>
                <w:lang w:val="es-CO" w:eastAsia="es-CO"/>
              </w:rPr>
              <w:br w:type="page"/>
              <w:t>• Revisar la necesidad de introducir el ajuste a la fórmula de cálculo vigente que resultaría de la adopción del proyecto de resolución, teniendo en cuenta que se trata de una modificación de la fórmula tarifaria vigente cuya vigencia mínima es de 5 años en los términos del artículo 126 de la Ley 142 de 1994.</w:t>
            </w:r>
            <w:r w:rsidR="00A5241F" w:rsidRPr="00B72CCC">
              <w:rPr>
                <w:rFonts w:ascii="Arial" w:eastAsia="Times New Roman" w:hAnsi="Arial" w:cs="Arial"/>
                <w:color w:val="000000"/>
                <w:sz w:val="20"/>
                <w:szCs w:val="20"/>
                <w:lang w:val="es-CO" w:eastAsia="es-CO"/>
              </w:rPr>
              <w:br w:type="page"/>
              <w:t>• En el caso en que la Comisión considere que se debe mantener esta propuesta de modificación de la fórmula tarifaria, se solicita que los plazos de participación ciudadana se cuenten a partir del momento en que la Comisión informe la motivación para introducir dicha modificación de la fórmula tarifaria.</w:t>
            </w:r>
          </w:p>
        </w:tc>
      </w:tr>
      <w:tr w:rsidR="00A5241F" w:rsidRPr="00B72CCC" w14:paraId="36CDF9B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301C4B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5E394B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7F8DD5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F1D75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6DF1A1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9D856E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51200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046DEA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Ajuste a la fórmula tarifaria</w:t>
            </w:r>
          </w:p>
        </w:tc>
      </w:tr>
      <w:tr w:rsidR="00A5241F" w:rsidRPr="00B72CCC" w14:paraId="77587B6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8BAD0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8797A5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3C5328D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82358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64BFDC4" w14:textId="1D0C23A4"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EB1E5C">
              <w:rPr>
                <w:rFonts w:ascii="Arial" w:eastAsia="Times New Roman" w:hAnsi="Arial" w:cs="Arial"/>
                <w:color w:val="000000"/>
                <w:sz w:val="20"/>
                <w:szCs w:val="20"/>
                <w:lang w:val="es-CO" w:eastAsia="es-CO"/>
              </w:rPr>
              <w:t>RESPUESTA No.8</w:t>
            </w:r>
          </w:p>
        </w:tc>
      </w:tr>
      <w:tr w:rsidR="00A5241F" w:rsidRPr="00B72CCC" w14:paraId="3597004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D5365E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3790A8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69</w:t>
            </w:r>
          </w:p>
        </w:tc>
      </w:tr>
      <w:tr w:rsidR="00A5241F" w:rsidRPr="00B72CCC" w14:paraId="4FB199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CF2154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E2655A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2159E56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58B54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52E6EB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19DB0DF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C27D7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1054A21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3738D91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3B4A79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48ED97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260DF13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ECDF5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C409E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A20AD89" w14:textId="77777777" w:rsidTr="00F5040F">
        <w:trPr>
          <w:trHeight w:val="2050"/>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EC8F5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144092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Entendemos que la aplicación de las nuevas tarifas no está sujeta a una fecha determinada en la Resolución, sino que la fecha de aplicación de las nuevas tarifas afectadas por los puntajes de eficiencia será el resultado del trámite de adopción de las mismas, lo cual comprende:</w:t>
            </w:r>
            <w:r w:rsidRPr="00B72CCC">
              <w:rPr>
                <w:rFonts w:ascii="Arial" w:eastAsia="Times New Roman" w:hAnsi="Arial" w:cs="Arial"/>
                <w:color w:val="000000"/>
                <w:sz w:val="20"/>
                <w:szCs w:val="20"/>
                <w:lang w:val="es-CO" w:eastAsia="es-CO"/>
              </w:rPr>
              <w:br/>
              <w:t>• Adopción de los nuevos costos de referencia por la Entidad Tarifaria Local. En el caso de prestadores del servicio, constituidos como empresas, será su Junta Directiva quien adopte los nuevos costos de referencia.</w:t>
            </w:r>
            <w:r w:rsidRPr="00B72CCC">
              <w:rPr>
                <w:rFonts w:ascii="Arial" w:eastAsia="Times New Roman" w:hAnsi="Arial" w:cs="Arial"/>
                <w:color w:val="000000"/>
                <w:sz w:val="20"/>
                <w:szCs w:val="20"/>
                <w:lang w:val="es-CO" w:eastAsia="es-CO"/>
              </w:rPr>
              <w:br/>
              <w:t>• Cumplimiento del trámite y plazos de información de tarifas (a los usuarios, la CRA y la SSPD) previo a su aplicación, según lo previsto en la Sección 5.1.1 de la Resolución CRA 151 de 2001.</w:t>
            </w:r>
            <w:r w:rsidRPr="00B72CCC">
              <w:rPr>
                <w:rFonts w:ascii="Arial" w:eastAsia="Times New Roman" w:hAnsi="Arial" w:cs="Arial"/>
                <w:color w:val="000000"/>
                <w:sz w:val="20"/>
                <w:szCs w:val="20"/>
                <w:lang w:val="es-CO" w:eastAsia="es-CO"/>
              </w:rPr>
              <w:br/>
              <w:t>Como se observa, esta fecha será diferente para cada persona prestadora, de acuerdo con la manera en que cada prestador adelante los trámites referidos.</w:t>
            </w:r>
            <w:r w:rsidRPr="00B72CCC">
              <w:rPr>
                <w:rFonts w:ascii="Arial" w:eastAsia="Times New Roman" w:hAnsi="Arial" w:cs="Arial"/>
                <w:color w:val="000000"/>
                <w:sz w:val="20"/>
                <w:szCs w:val="20"/>
                <w:lang w:val="es-CO" w:eastAsia="es-CO"/>
              </w:rPr>
              <w:br/>
              <w:t>Solicitud a la Comisión y a la SSPD:</w:t>
            </w:r>
            <w:r w:rsidRPr="00B72CCC">
              <w:rPr>
                <w:rFonts w:ascii="Arial" w:eastAsia="Times New Roman" w:hAnsi="Arial" w:cs="Arial"/>
                <w:color w:val="000000"/>
                <w:sz w:val="20"/>
                <w:szCs w:val="20"/>
                <w:lang w:val="es-CO" w:eastAsia="es-CO"/>
              </w:rPr>
              <w:br/>
              <w:t>• Solicitamos a la Comisión y a la SSPD que los controles a adelantar sobre la fecha de aplicación de estas nuevas tarifas tengan en cuenta estos trámites.</w:t>
            </w:r>
          </w:p>
        </w:tc>
      </w:tr>
      <w:tr w:rsidR="00A5241F" w:rsidRPr="00B72CCC" w14:paraId="6297CCA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2AE1E5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CCF951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526E8F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93041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7102BD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70DFE72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963E7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CE824F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Procedimiento de aplicación de las nuevas tarifas</w:t>
            </w:r>
          </w:p>
        </w:tc>
      </w:tr>
      <w:tr w:rsidR="00A5241F" w:rsidRPr="00B72CCC" w14:paraId="540C45E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B4D7D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Tipo de Respuesta</w:t>
            </w:r>
          </w:p>
        </w:tc>
        <w:tc>
          <w:tcPr>
            <w:tcW w:w="0" w:type="auto"/>
            <w:tcBorders>
              <w:top w:val="nil"/>
              <w:left w:val="nil"/>
              <w:bottom w:val="single" w:sz="4" w:space="0" w:color="auto"/>
              <w:right w:val="single" w:sz="4" w:space="0" w:color="auto"/>
            </w:tcBorders>
            <w:shd w:val="clear" w:color="auto" w:fill="auto"/>
            <w:vAlign w:val="bottom"/>
            <w:hideMark/>
          </w:tcPr>
          <w:p w14:paraId="2CC9C80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174D43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5E1BA8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6FBEB00D" w14:textId="436CDF88"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F5040F" w:rsidRPr="00146648">
              <w:rPr>
                <w:rFonts w:ascii="Arial" w:eastAsia="Times New Roman" w:hAnsi="Arial" w:cs="Arial"/>
                <w:color w:val="000000"/>
                <w:sz w:val="20"/>
                <w:szCs w:val="20"/>
                <w:lang w:val="es-CO" w:eastAsia="es-CO"/>
              </w:rPr>
              <w:t>RESPUESTA No.1</w:t>
            </w:r>
            <w:r w:rsidR="00F5040F">
              <w:rPr>
                <w:rFonts w:ascii="Arial" w:eastAsia="Times New Roman" w:hAnsi="Arial" w:cs="Arial"/>
                <w:color w:val="000000"/>
                <w:sz w:val="20"/>
                <w:szCs w:val="20"/>
                <w:lang w:val="es-CO" w:eastAsia="es-CO"/>
              </w:rPr>
              <w:t>3</w:t>
            </w:r>
          </w:p>
        </w:tc>
      </w:tr>
      <w:tr w:rsidR="00A5241F" w:rsidRPr="00B72CCC" w14:paraId="3BEEDFE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FF093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8107F4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70</w:t>
            </w:r>
          </w:p>
        </w:tc>
      </w:tr>
      <w:tr w:rsidR="00A5241F" w:rsidRPr="00B72CCC" w14:paraId="122A254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11052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5FF674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20173210048582</w:t>
            </w:r>
          </w:p>
        </w:tc>
      </w:tr>
      <w:tr w:rsidR="00A5241F" w:rsidRPr="00B72CCC" w14:paraId="306CCAF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5E3D7E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0DE6F9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23 de mayo de 2017</w:t>
            </w:r>
          </w:p>
        </w:tc>
      </w:tr>
      <w:tr w:rsidR="00A5241F" w:rsidRPr="00B72CCC" w14:paraId="6E443D6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B2C23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CD18E1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y aseo de Bogotá EAB</w:t>
            </w:r>
          </w:p>
        </w:tc>
      </w:tr>
      <w:tr w:rsidR="00A5241F" w:rsidRPr="00B72CCC" w14:paraId="40F0A89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AF5663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35F7AA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0BB202D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7F84F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61DAE3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1BABA96" w14:textId="77777777" w:rsidTr="00CE608B">
        <w:trPr>
          <w:trHeight w:val="1200"/>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240A8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4CB4089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Se solicita respetuosamente a la Comisión que se modifique el documento de trabajo del proyecto de Res. CRA 791 de 2017 de manera que la fórmula para el cálculo de la variable micromedición efectiva sea conforme con la fórmula adoptada por la Comisión en la Res. CRA 770 de 2016 y que se informa en el documento de trabajo de dicha resolución como el cociente entre valores promedios de la siguiente manera:</w:t>
            </w:r>
            <w:r w:rsidRPr="00B72CCC">
              <w:rPr>
                <w:rFonts w:ascii="Arial" w:eastAsia="Times New Roman" w:hAnsi="Arial" w:cs="Arial"/>
                <w:color w:val="000000"/>
                <w:sz w:val="20"/>
                <w:szCs w:val="20"/>
                <w:lang w:val="es-CO" w:eastAsia="es-CO"/>
              </w:rPr>
              <w:br/>
              <w:t>Micromedición efectiva (%) = Promedio mensual suscriptores con medidor en buen estado / Promedio mensual suscriptores totales de acueducto *100%</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Así mismo, se solicita que se verifique que el cálculo de la variable micromedición efectiva se haya realizado dando aplicación a la fórmula del documento de trabajo de la Res. CRA 770 de 2016.</w:t>
            </w:r>
          </w:p>
        </w:tc>
      </w:tr>
      <w:tr w:rsidR="00A5241F" w:rsidRPr="00B72CCC" w14:paraId="394DB6E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394E0A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17AA66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BC5C0E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56F53D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AF09D0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574C6F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856AA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655A611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Revisión del valor de las variables del modelo</w:t>
            </w:r>
          </w:p>
        </w:tc>
      </w:tr>
      <w:tr w:rsidR="00A5241F" w:rsidRPr="00B72CCC" w14:paraId="111AB8A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A5C676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5F8492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24BCA8C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92BB37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C8FD3CA" w14:textId="07422996"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CE608B">
              <w:rPr>
                <w:rFonts w:ascii="Arial" w:eastAsia="Times New Roman" w:hAnsi="Arial" w:cs="Arial"/>
                <w:color w:val="000000"/>
                <w:sz w:val="20"/>
                <w:szCs w:val="20"/>
                <w:lang w:val="es-CO" w:eastAsia="es-CO"/>
              </w:rPr>
              <w:t>RESPUESTA No.5</w:t>
            </w:r>
          </w:p>
        </w:tc>
      </w:tr>
      <w:tr w:rsidR="00A5241F" w:rsidRPr="00B72CCC" w14:paraId="058D830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A39D3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3D2B59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71</w:t>
            </w:r>
          </w:p>
        </w:tc>
      </w:tr>
      <w:tr w:rsidR="00A5241F" w:rsidRPr="00B72CCC" w14:paraId="1812B71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E8723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0729D8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20173210049612</w:t>
            </w:r>
          </w:p>
        </w:tc>
      </w:tr>
      <w:tr w:rsidR="00A5241F" w:rsidRPr="00B72CCC" w14:paraId="07C30FA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107904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A37BFB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25 de mayo de 2017</w:t>
            </w:r>
          </w:p>
        </w:tc>
      </w:tr>
      <w:tr w:rsidR="00A5241F" w:rsidRPr="00B72CCC" w14:paraId="110C8F2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13D0FC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7E940EE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de Pereira</w:t>
            </w:r>
          </w:p>
        </w:tc>
      </w:tr>
      <w:tr w:rsidR="00A5241F" w:rsidRPr="00B72CCC" w14:paraId="0448580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9DDBAD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3A55AFD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Pereira</w:t>
            </w:r>
          </w:p>
        </w:tc>
      </w:tr>
      <w:tr w:rsidR="00A5241F" w:rsidRPr="00B72CCC" w14:paraId="7A5B48E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665B47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6CA4F9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6A4D94E6" w14:textId="77777777" w:rsidTr="004B7180">
        <w:trPr>
          <w:trHeight w:val="3296"/>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B0A022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6A02038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"Parámetros de inclusión Año 2014 - Micromedición APS Dosquebradas (24,80%): Tal como se justificó en el oficio 213 de enero 20 de 2017, este dato no fue reportado como atípico en la reunión del 29 de abril de 2016 en la SSPD. Adicionalmente de acuerdo a la resolución CRA 782 de 2016, la información se toma del formulario información comercial acueducto (artículo 2.3.7.7) cuyos reportes del año 2014, están correctos.</w:t>
            </w:r>
            <w:r w:rsidRPr="00B72CCC">
              <w:rPr>
                <w:rFonts w:ascii="Arial" w:eastAsia="Times New Roman" w:hAnsi="Arial" w:cs="Arial"/>
                <w:color w:val="000000"/>
                <w:sz w:val="20"/>
                <w:szCs w:val="20"/>
                <w:lang w:val="es-CO" w:eastAsia="es-CO"/>
              </w:rPr>
              <w:br/>
              <w:t>Así las cosas, consideramos que el dato de micromedición para la APS Dosquebrádas año 2014 no debe ser atípico dado que la fuente de información es decir el formulario del artículo 2.3.7:7 tiene correctos los datos. Y por lo tanto tampoco habría atipicidad en el dato de Suscriptores con micromedidor en buen estado APS Dosquebradas año 2014.</w:t>
            </w:r>
            <w:r w:rsidRPr="00B72CCC">
              <w:rPr>
                <w:rFonts w:ascii="Arial" w:eastAsia="Times New Roman" w:hAnsi="Arial" w:cs="Arial"/>
                <w:color w:val="000000"/>
                <w:sz w:val="20"/>
                <w:szCs w:val="20"/>
                <w:lang w:val="es-CO" w:eastAsia="es-CO"/>
              </w:rPr>
              <w:br/>
              <w:t>Donde hay errores es en los cargues masivos del artículo 2.3.7.2. facturación acueducto IGAC, y son los que procedimos a solicitar la reversión, pues se reportaron de abril a diciembre de 2014, todos los usuarios como de Pereira. A la fecha estamos pendiente autorización de reversión por parte del SUI. Se adjuntan oficios 196 de enero 19 de 2017; oficio SSPD 20171800049131, donde no autorizaron la reversión por desactualización del RUPS, pero esto fue debido a problemas del SUI; oficio 1001 de marzo 6 de 2017 y mesa de ayuda 365871."</w:t>
            </w:r>
          </w:p>
        </w:tc>
      </w:tr>
      <w:tr w:rsidR="00A5241F" w:rsidRPr="00B72CCC" w14:paraId="49975E7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56335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2EFD61A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D327A1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0EDFA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8A7ECC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5F7F801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4826CE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A984AE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A5241F" w:rsidRPr="00B72CCC" w14:paraId="179928D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613D2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27402B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6845CAE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9C1357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42E1E1B" w14:textId="601C0ED5"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4B7180">
              <w:rPr>
                <w:rFonts w:ascii="Arial" w:eastAsia="Times New Roman" w:hAnsi="Arial" w:cs="Arial"/>
                <w:color w:val="000000"/>
                <w:sz w:val="20"/>
                <w:szCs w:val="20"/>
                <w:lang w:val="es-CO" w:eastAsia="es-CO"/>
              </w:rPr>
              <w:t>RESPUESTA No.2</w:t>
            </w:r>
          </w:p>
        </w:tc>
      </w:tr>
      <w:tr w:rsidR="00A5241F" w:rsidRPr="00B72CCC" w14:paraId="677AC3D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85B24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C14DD4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72</w:t>
            </w:r>
          </w:p>
        </w:tc>
      </w:tr>
      <w:tr w:rsidR="00A5241F" w:rsidRPr="00B72CCC" w14:paraId="568949E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B6F18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45CC89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20173210049612</w:t>
            </w:r>
          </w:p>
        </w:tc>
      </w:tr>
      <w:tr w:rsidR="00A5241F" w:rsidRPr="00B72CCC" w14:paraId="1529580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E55AC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8D8EDD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25 de mayo de 2017</w:t>
            </w:r>
          </w:p>
        </w:tc>
      </w:tr>
      <w:tr w:rsidR="00A5241F" w:rsidRPr="00B72CCC" w14:paraId="6872BC7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23C9B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DFEF10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de Pereira</w:t>
            </w:r>
          </w:p>
        </w:tc>
      </w:tr>
      <w:tr w:rsidR="00A5241F" w:rsidRPr="00B72CCC" w14:paraId="37D570F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4B5105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1410E7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Pereira</w:t>
            </w:r>
          </w:p>
        </w:tc>
      </w:tr>
      <w:tr w:rsidR="00A5241F" w:rsidRPr="00B72CCC" w14:paraId="7CAFA24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25B2C8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EC87EA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C2B409A" w14:textId="77777777" w:rsidTr="004B7180">
        <w:trPr>
          <w:trHeight w:val="134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F2A22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F43193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3. Variables Operativas- m3 facturados de acueducto APS Dosquebradas (2010 y 2014): En el documento de trabajo de la resolución CRA 791 de 2017 página 44, consideran justificable la explicacion a estas atipicidades, sin embargo en el página 45, en el "análisis de la justificacion de los datos atípicos", mencionan que los m3 facturados de acueducto son consideramos que sigue siendo válida la justificación dada por la Empresa al respecto, en el oficio 2013 de enero 20 de 2017, tal como quedó consignado en la página 44 del documento de trabajo.</w:t>
            </w:r>
          </w:p>
        </w:tc>
      </w:tr>
      <w:tr w:rsidR="00A5241F" w:rsidRPr="00B72CCC" w14:paraId="4DD1E13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25A23D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71CFAE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EF5318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7BA7D9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86FAAB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5900C4C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79FC5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5D21F1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A5241F" w:rsidRPr="00B72CCC" w14:paraId="54FE9D6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8AAC7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C07095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5908225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6E9853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7A827B6" w14:textId="49F60DF4"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4B7180">
              <w:rPr>
                <w:rFonts w:ascii="Arial" w:eastAsia="Times New Roman" w:hAnsi="Arial" w:cs="Arial"/>
                <w:color w:val="000000"/>
                <w:sz w:val="20"/>
                <w:szCs w:val="20"/>
                <w:lang w:val="es-CO" w:eastAsia="es-CO"/>
              </w:rPr>
              <w:t>RESPUESTA No.2</w:t>
            </w:r>
          </w:p>
        </w:tc>
      </w:tr>
      <w:tr w:rsidR="00A5241F" w:rsidRPr="00B72CCC" w14:paraId="56434C7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1A70C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965178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73</w:t>
            </w:r>
          </w:p>
        </w:tc>
      </w:tr>
      <w:tr w:rsidR="00A5241F" w:rsidRPr="00B72CCC" w14:paraId="31E3967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DA19B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40199E8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20173210049612</w:t>
            </w:r>
          </w:p>
        </w:tc>
      </w:tr>
      <w:tr w:rsidR="00A5241F" w:rsidRPr="00B72CCC" w14:paraId="25987CA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30FD22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0FF1A1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25 de mayo de 2017</w:t>
            </w:r>
          </w:p>
        </w:tc>
      </w:tr>
      <w:tr w:rsidR="00A5241F" w:rsidRPr="00B72CCC" w14:paraId="7A90DD9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5F23DF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Remitente</w:t>
            </w:r>
          </w:p>
        </w:tc>
        <w:tc>
          <w:tcPr>
            <w:tcW w:w="0" w:type="auto"/>
            <w:tcBorders>
              <w:top w:val="nil"/>
              <w:left w:val="nil"/>
              <w:bottom w:val="single" w:sz="4" w:space="0" w:color="auto"/>
              <w:right w:val="single" w:sz="4" w:space="0" w:color="auto"/>
            </w:tcBorders>
            <w:shd w:val="clear" w:color="auto" w:fill="auto"/>
            <w:vAlign w:val="bottom"/>
            <w:hideMark/>
          </w:tcPr>
          <w:p w14:paraId="1941561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de Pereira</w:t>
            </w:r>
          </w:p>
        </w:tc>
      </w:tr>
      <w:tr w:rsidR="00A5241F" w:rsidRPr="00B72CCC" w14:paraId="3CF8902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291C1E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CC858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Pereira</w:t>
            </w:r>
          </w:p>
        </w:tc>
      </w:tr>
      <w:tr w:rsidR="00A5241F" w:rsidRPr="00B72CCC" w14:paraId="5C0B6A6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6BE031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289D05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42112925" w14:textId="77777777" w:rsidTr="004B7180">
        <w:trPr>
          <w:trHeight w:val="68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FE03D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7E5B30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4. Variables Operativas - m3 vertidos alcantarillado 2010 y 2012: En el documento de trabajo de la resolución CRA 791 de 2017 página 44, la CRA no emite ningún concepto sobre considerar justificables o no los argumentos dados por la Empresa, y en la página 45 no mencionan estas variables como atípicas generando una imprecisión al respecto. </w:t>
            </w:r>
          </w:p>
        </w:tc>
      </w:tr>
      <w:tr w:rsidR="00A5241F" w:rsidRPr="00B72CCC" w14:paraId="2408EB7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7644CF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4DE9F92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F13024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3E364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3EB634C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4AE56C4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4BCED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424ACE9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A5241F" w:rsidRPr="00B72CCC" w14:paraId="49B1AE8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E7884D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08CEEC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7F6924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8211A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8EC9AAC" w14:textId="4A9ECEB2"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4B7180">
              <w:rPr>
                <w:rFonts w:ascii="Arial" w:eastAsia="Times New Roman" w:hAnsi="Arial" w:cs="Arial"/>
                <w:color w:val="000000"/>
                <w:sz w:val="20"/>
                <w:szCs w:val="20"/>
                <w:lang w:val="es-CO" w:eastAsia="es-CO"/>
              </w:rPr>
              <w:t>RESPUESTA No.2</w:t>
            </w:r>
          </w:p>
        </w:tc>
      </w:tr>
      <w:tr w:rsidR="00A5241F" w:rsidRPr="00B72CCC" w14:paraId="1B6B9F0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9556BF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D1B4D2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74</w:t>
            </w:r>
          </w:p>
        </w:tc>
      </w:tr>
      <w:tr w:rsidR="00A5241F" w:rsidRPr="00B72CCC" w14:paraId="661B6C1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C0522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F1CFCD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20173210049612</w:t>
            </w:r>
          </w:p>
        </w:tc>
      </w:tr>
      <w:tr w:rsidR="00A5241F" w:rsidRPr="00B72CCC" w14:paraId="1FC085A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50E6E7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5B1C43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25 de mayo de 2017</w:t>
            </w:r>
          </w:p>
        </w:tc>
      </w:tr>
      <w:tr w:rsidR="00A5241F" w:rsidRPr="00B72CCC" w14:paraId="3ACD1E6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D37F0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7BD0DF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de Pereira</w:t>
            </w:r>
          </w:p>
        </w:tc>
      </w:tr>
      <w:tr w:rsidR="00A5241F" w:rsidRPr="00B72CCC" w14:paraId="6202B73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13802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92816E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Pereira</w:t>
            </w:r>
          </w:p>
        </w:tc>
      </w:tr>
      <w:tr w:rsidR="00A5241F" w:rsidRPr="00B72CCC" w14:paraId="581364C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3B8E0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0C45C3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0805F7C" w14:textId="77777777" w:rsidTr="004B7180">
        <w:trPr>
          <w:trHeight w:val="49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B0D1CB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4113D287" w14:textId="237DED2F"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Ahora </w:t>
            </w:r>
            <w:r w:rsidR="004B7180" w:rsidRPr="00B72CCC">
              <w:rPr>
                <w:rFonts w:ascii="Arial" w:eastAsia="Times New Roman" w:hAnsi="Arial" w:cs="Arial"/>
                <w:color w:val="000000"/>
                <w:sz w:val="20"/>
                <w:szCs w:val="20"/>
                <w:lang w:val="es-CO" w:eastAsia="es-CO"/>
              </w:rPr>
              <w:t>bien,</w:t>
            </w:r>
            <w:r w:rsidRPr="00B72CCC">
              <w:rPr>
                <w:rFonts w:ascii="Arial" w:eastAsia="Times New Roman" w:hAnsi="Arial" w:cs="Arial"/>
                <w:color w:val="000000"/>
                <w:sz w:val="20"/>
                <w:szCs w:val="20"/>
                <w:lang w:val="es-CO" w:eastAsia="es-CO"/>
              </w:rPr>
              <w:t xml:space="preserve"> el dato para el año 2010 es el correcto (20.794.982 m3) el cual se pudo ajustar mediante proceso de reversión, pues el valor inicial que estaba en el SUI era de 17.338.575 m3. Aunque la resolución CRA 782 de 2016 y el documento de trabajo de la </w:t>
            </w:r>
            <w:r w:rsidR="004B7180" w:rsidRPr="00B72CCC">
              <w:rPr>
                <w:rFonts w:ascii="Arial" w:eastAsia="Times New Roman" w:hAnsi="Arial" w:cs="Arial"/>
                <w:color w:val="000000"/>
                <w:sz w:val="20"/>
                <w:szCs w:val="20"/>
                <w:lang w:val="es-CO" w:eastAsia="es-CO"/>
              </w:rPr>
              <w:t>resolución</w:t>
            </w:r>
            <w:r w:rsidRPr="00B72CCC">
              <w:rPr>
                <w:rFonts w:ascii="Arial" w:eastAsia="Times New Roman" w:hAnsi="Arial" w:cs="Arial"/>
                <w:color w:val="000000"/>
                <w:sz w:val="20"/>
                <w:szCs w:val="20"/>
                <w:lang w:val="es-CO" w:eastAsia="es-CO"/>
              </w:rPr>
              <w:t xml:space="preserve"> considera los 20.794.982 m3 como dato atípico, este es el correcto y obedece a la dinámica normal comercial de la Empresa, adicional a que para el año 2010 se tenía menor cantidad de suscriptores conectados a la infraestructura de alcantarillado, que aumentaron en cerca del 3.9% del 2010 al 2011, generando mayores m3 vertidos para el 2011 con respecto al 2010.</w:t>
            </w:r>
          </w:p>
        </w:tc>
      </w:tr>
      <w:tr w:rsidR="00A5241F" w:rsidRPr="00B72CCC" w14:paraId="797827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DBD4B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77D357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186CD6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1956E2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2CAFDB8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49DAF41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83853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F9A9F3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A5241F" w:rsidRPr="00B72CCC" w14:paraId="4CF3262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D2306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D96CAE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3647051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70CB55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D94888B" w14:textId="2173FAF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4B7180">
              <w:rPr>
                <w:rFonts w:ascii="Arial" w:eastAsia="Times New Roman" w:hAnsi="Arial" w:cs="Arial"/>
                <w:color w:val="000000"/>
                <w:sz w:val="20"/>
                <w:szCs w:val="20"/>
                <w:lang w:val="es-CO" w:eastAsia="es-CO"/>
              </w:rPr>
              <w:t>RESPUESTA No.2</w:t>
            </w:r>
          </w:p>
        </w:tc>
      </w:tr>
      <w:tr w:rsidR="00A5241F" w:rsidRPr="00B72CCC" w14:paraId="6955CCA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D9B90A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3409718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75</w:t>
            </w:r>
          </w:p>
        </w:tc>
      </w:tr>
      <w:tr w:rsidR="00A5241F" w:rsidRPr="00B72CCC" w14:paraId="48F373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B98A60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4A26AE2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20173210049612</w:t>
            </w:r>
          </w:p>
        </w:tc>
      </w:tr>
      <w:tr w:rsidR="00A5241F" w:rsidRPr="00B72CCC" w14:paraId="08CF975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E94302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607EB0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25 de mayo de 2017</w:t>
            </w:r>
          </w:p>
        </w:tc>
      </w:tr>
      <w:tr w:rsidR="00A5241F" w:rsidRPr="00B72CCC" w14:paraId="12BD5F7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ED1EB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09BF80D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de Pereira</w:t>
            </w:r>
          </w:p>
        </w:tc>
      </w:tr>
      <w:tr w:rsidR="00A5241F" w:rsidRPr="00B72CCC" w14:paraId="0727C80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60513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BCB091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Pereira</w:t>
            </w:r>
          </w:p>
        </w:tc>
      </w:tr>
      <w:tr w:rsidR="00A5241F" w:rsidRPr="00B72CCC" w14:paraId="1837F12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30F81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DA9DAB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318776A" w14:textId="77777777" w:rsidTr="004B7180">
        <w:trPr>
          <w:trHeight w:val="194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2B1CC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51FB5C80" w14:textId="5F4B79CA"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En cuanto al dato del 2012, se realizaron varios trámites de autorización de reversión ante la SSPD, para el formulario de </w:t>
            </w:r>
            <w:r w:rsidR="004B7180" w:rsidRPr="00B72CCC">
              <w:rPr>
                <w:rFonts w:ascii="Arial" w:eastAsia="Times New Roman" w:hAnsi="Arial" w:cs="Arial"/>
                <w:color w:val="000000"/>
                <w:sz w:val="20"/>
                <w:szCs w:val="20"/>
                <w:lang w:val="es-CO" w:eastAsia="es-CO"/>
              </w:rPr>
              <w:t>información</w:t>
            </w:r>
            <w:r w:rsidRPr="00B72CCC">
              <w:rPr>
                <w:rFonts w:ascii="Arial" w:eastAsia="Times New Roman" w:hAnsi="Arial" w:cs="Arial"/>
                <w:color w:val="000000"/>
                <w:sz w:val="20"/>
                <w:szCs w:val="20"/>
                <w:lang w:val="es-CO" w:eastAsia="es-CO"/>
              </w:rPr>
              <w:t xml:space="preserve"> comercial alcantarillado (artículo 3.3.6.7) del mes de mayo de 2012, pero se tuvieron problemas de comunicación con la Superintendencia como ya se anotó en anteriores apartes de este escrito, y en los puntos 3 y 4 del oficio 2013 de enero 20 de 2017. Se adjuntan oficios 2756 de junio 22 de 2016, 5202 de octubre 31 de 2016, 82 de enero 10 de 2017 y </w:t>
            </w:r>
            <w:r w:rsidR="004B7180" w:rsidRPr="00B72CCC">
              <w:rPr>
                <w:rFonts w:ascii="Arial" w:eastAsia="Times New Roman" w:hAnsi="Arial" w:cs="Arial"/>
                <w:color w:val="000000"/>
                <w:sz w:val="20"/>
                <w:szCs w:val="20"/>
                <w:lang w:val="es-CO" w:eastAsia="es-CO"/>
              </w:rPr>
              <w:t>pantallazo</w:t>
            </w:r>
            <w:r w:rsidRPr="00B72CCC">
              <w:rPr>
                <w:rFonts w:ascii="Arial" w:eastAsia="Times New Roman" w:hAnsi="Arial" w:cs="Arial"/>
                <w:color w:val="000000"/>
                <w:sz w:val="20"/>
                <w:szCs w:val="20"/>
                <w:lang w:val="es-CO" w:eastAsia="es-CO"/>
              </w:rPr>
              <w:t xml:space="preserve"> de la mesa de ayuda 35982. Sólo hasta el 16 de marzo de 2017 se logró cargar la información corregida del mes de mayo de 2012, cuyo valor correcto para ese mes es 1.754.027 m3 (Se anexa certificado radicado No. 201703162012303578).</w:t>
            </w:r>
          </w:p>
        </w:tc>
      </w:tr>
      <w:tr w:rsidR="00A5241F" w:rsidRPr="00B72CCC" w14:paraId="6F79519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A9D9F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2B1C15B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342DB1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3CC8D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2F244B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453A1A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6DB436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4B524D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A5241F" w:rsidRPr="00B72CCC" w14:paraId="4511481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6D511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7CBEB5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7C539BE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3079D7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16314C95" w14:textId="5FEC6EFA"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4B7180">
              <w:rPr>
                <w:rFonts w:ascii="Arial" w:eastAsia="Times New Roman" w:hAnsi="Arial" w:cs="Arial"/>
                <w:color w:val="000000"/>
                <w:sz w:val="20"/>
                <w:szCs w:val="20"/>
                <w:lang w:val="es-CO" w:eastAsia="es-CO"/>
              </w:rPr>
              <w:t>RESPUESTA No.2</w:t>
            </w:r>
          </w:p>
        </w:tc>
      </w:tr>
      <w:tr w:rsidR="00A5241F" w:rsidRPr="00B72CCC" w14:paraId="64B0209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9030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C99D5E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76</w:t>
            </w:r>
          </w:p>
        </w:tc>
      </w:tr>
      <w:tr w:rsidR="00A5241F" w:rsidRPr="00B72CCC" w14:paraId="26474DA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E0004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377641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20173210049612</w:t>
            </w:r>
          </w:p>
        </w:tc>
      </w:tr>
      <w:tr w:rsidR="00A5241F" w:rsidRPr="00B72CCC" w14:paraId="396F2D2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79BE5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1886AA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25 de mayo de 2017</w:t>
            </w:r>
          </w:p>
        </w:tc>
      </w:tr>
      <w:tr w:rsidR="00A5241F" w:rsidRPr="00B72CCC" w14:paraId="59A122E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231CE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317F86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de Pereira</w:t>
            </w:r>
          </w:p>
        </w:tc>
      </w:tr>
      <w:tr w:rsidR="00A5241F" w:rsidRPr="00B72CCC" w14:paraId="33B1093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C55E4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FBD7EA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Pereira</w:t>
            </w:r>
          </w:p>
        </w:tc>
      </w:tr>
      <w:tr w:rsidR="00A5241F" w:rsidRPr="00B72CCC" w14:paraId="2774A72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9BA509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BB204F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8EDE040" w14:textId="77777777" w:rsidTr="004B7180">
        <w:trPr>
          <w:trHeight w:val="290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13E85E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16A2A703" w14:textId="3D39755C"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5. Variables Operativas - Tamaño de redes de Acueducto 2012: En la reunión del 29 de abril de 2016 en la SSPD, la empresa presentaba atipicidad en todo el reporte 2010 a 2014 del tamaño de redes de acueducto y alcantarillado, por lo </w:t>
            </w:r>
            <w:r w:rsidR="004B7180" w:rsidRPr="00B72CCC">
              <w:rPr>
                <w:rFonts w:ascii="Arial" w:eastAsia="Times New Roman" w:hAnsi="Arial" w:cs="Arial"/>
                <w:color w:val="000000"/>
                <w:sz w:val="20"/>
                <w:szCs w:val="20"/>
                <w:lang w:val="es-CO" w:eastAsia="es-CO"/>
              </w:rPr>
              <w:t>tanto,</w:t>
            </w:r>
            <w:r w:rsidRPr="00B72CCC">
              <w:rPr>
                <w:rFonts w:ascii="Arial" w:eastAsia="Times New Roman" w:hAnsi="Arial" w:cs="Arial"/>
                <w:color w:val="000000"/>
                <w:sz w:val="20"/>
                <w:szCs w:val="20"/>
                <w:lang w:val="es-CO" w:eastAsia="es-CO"/>
              </w:rPr>
              <w:t xml:space="preserve"> se </w:t>
            </w:r>
            <w:r w:rsidR="004B7180" w:rsidRPr="00B72CCC">
              <w:rPr>
                <w:rFonts w:ascii="Arial" w:eastAsia="Times New Roman" w:hAnsi="Arial" w:cs="Arial"/>
                <w:color w:val="000000"/>
                <w:sz w:val="20"/>
                <w:szCs w:val="20"/>
                <w:lang w:val="es-CO" w:eastAsia="es-CO"/>
              </w:rPr>
              <w:t>procedió</w:t>
            </w:r>
            <w:r w:rsidRPr="00B72CCC">
              <w:rPr>
                <w:rFonts w:ascii="Arial" w:eastAsia="Times New Roman" w:hAnsi="Arial" w:cs="Arial"/>
                <w:color w:val="000000"/>
                <w:sz w:val="20"/>
                <w:szCs w:val="20"/>
                <w:lang w:val="es-CO" w:eastAsia="es-CO"/>
              </w:rPr>
              <w:t xml:space="preserve"> a realizar los trámites respectivos de reversión que dieron como resultado tener los valores reales y correctos para todo el reporte de alcantarillado y el de acueducto a excepción del año 2012, que continuaba atípico. En el punto 8 del oficio 2013 de enero 20 de 2017, se explicó </w:t>
            </w:r>
            <w:r w:rsidR="004B7180" w:rsidRPr="00B72CCC">
              <w:rPr>
                <w:rFonts w:ascii="Arial" w:eastAsia="Times New Roman" w:hAnsi="Arial" w:cs="Arial"/>
                <w:color w:val="000000"/>
                <w:sz w:val="20"/>
                <w:szCs w:val="20"/>
                <w:lang w:val="es-CO" w:eastAsia="es-CO"/>
              </w:rPr>
              <w:t>cómo,</w:t>
            </w:r>
            <w:r w:rsidRPr="00B72CCC">
              <w:rPr>
                <w:rFonts w:ascii="Arial" w:eastAsia="Times New Roman" w:hAnsi="Arial" w:cs="Arial"/>
                <w:color w:val="000000"/>
                <w:sz w:val="20"/>
                <w:szCs w:val="20"/>
                <w:lang w:val="es-CO" w:eastAsia="es-CO"/>
              </w:rPr>
              <w:t xml:space="preserve"> aunque el cargue del 2012 quedó realizado, no es posible validar la longitud y volumen de las tuberías reportadas, para </w:t>
            </w:r>
            <w:r w:rsidR="004B7180" w:rsidRPr="00B72CCC">
              <w:rPr>
                <w:rFonts w:ascii="Arial" w:eastAsia="Times New Roman" w:hAnsi="Arial" w:cs="Arial"/>
                <w:color w:val="000000"/>
                <w:sz w:val="20"/>
                <w:szCs w:val="20"/>
                <w:lang w:val="es-CO" w:eastAsia="es-CO"/>
              </w:rPr>
              <w:t>obtener</w:t>
            </w:r>
            <w:r w:rsidRPr="00B72CCC">
              <w:rPr>
                <w:rFonts w:ascii="Arial" w:eastAsia="Times New Roman" w:hAnsi="Arial" w:cs="Arial"/>
                <w:color w:val="000000"/>
                <w:sz w:val="20"/>
                <w:szCs w:val="20"/>
                <w:lang w:val="es-CO" w:eastAsia="es-CO"/>
              </w:rPr>
              <w:t xml:space="preserve"> el valor del tamaño de las redes que queda en el SUI. Es por eso que sólo con la expedición de la resolución CRA 782 de 2016 supimos que la atipicidad para ese año y se procedió a realizar nuevamente los trámites de reversión ante la SSPD; como consta en los oficios que se anexan, oficio 211 de enero 20 de 2017; oficio SSPD 20171800050871, donde no autorizaron la reversión; oficio 1146 de marzo 15 de 2017. Sólo hasta el 11 de mayo de 2017 se logró cargar nuevamente la información, cuyo valor correcto es por el orden de 42.854 (se anexa No. c0a8320e-5370457)</w:t>
            </w:r>
          </w:p>
        </w:tc>
      </w:tr>
      <w:tr w:rsidR="00A5241F" w:rsidRPr="00B72CCC" w14:paraId="0B81C2E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C0E00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A5E377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758F03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C1F755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2DE50E0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0DB2D5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03A87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962080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A5241F" w:rsidRPr="00B72CCC" w14:paraId="5126CFF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366536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79B054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7D6612B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904CF4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891D35B" w14:textId="0FF45F08"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4B7180">
              <w:rPr>
                <w:rFonts w:ascii="Arial" w:eastAsia="Times New Roman" w:hAnsi="Arial" w:cs="Arial"/>
                <w:color w:val="000000"/>
                <w:sz w:val="20"/>
                <w:szCs w:val="20"/>
                <w:lang w:val="es-CO" w:eastAsia="es-CO"/>
              </w:rPr>
              <w:t>RESPUESTA No.2</w:t>
            </w:r>
          </w:p>
        </w:tc>
      </w:tr>
      <w:tr w:rsidR="00A5241F" w:rsidRPr="00B72CCC" w14:paraId="0088C08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E9BDD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524D19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77</w:t>
            </w:r>
          </w:p>
        </w:tc>
      </w:tr>
      <w:tr w:rsidR="00A5241F" w:rsidRPr="00B72CCC" w14:paraId="4386693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94EE9D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36E8F9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20173210049612</w:t>
            </w:r>
          </w:p>
        </w:tc>
      </w:tr>
      <w:tr w:rsidR="00A5241F" w:rsidRPr="00B72CCC" w14:paraId="2D62D73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7EE8F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Fecha de Radicado</w:t>
            </w:r>
          </w:p>
        </w:tc>
        <w:tc>
          <w:tcPr>
            <w:tcW w:w="0" w:type="auto"/>
            <w:tcBorders>
              <w:top w:val="nil"/>
              <w:left w:val="nil"/>
              <w:bottom w:val="single" w:sz="4" w:space="0" w:color="auto"/>
              <w:right w:val="single" w:sz="4" w:space="0" w:color="auto"/>
            </w:tcBorders>
            <w:shd w:val="clear" w:color="auto" w:fill="auto"/>
            <w:vAlign w:val="bottom"/>
            <w:hideMark/>
          </w:tcPr>
          <w:p w14:paraId="1DBB16B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25 de mayo de 2017</w:t>
            </w:r>
          </w:p>
        </w:tc>
      </w:tr>
      <w:tr w:rsidR="00A5241F" w:rsidRPr="00B72CCC" w14:paraId="2C0B79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3E78BC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4E97A7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de Pereira</w:t>
            </w:r>
          </w:p>
        </w:tc>
      </w:tr>
      <w:tr w:rsidR="00A5241F" w:rsidRPr="00B72CCC" w14:paraId="129C735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532A6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48DE52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Pereira</w:t>
            </w:r>
          </w:p>
        </w:tc>
      </w:tr>
      <w:tr w:rsidR="00A5241F" w:rsidRPr="00B72CCC" w14:paraId="45126C8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02961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944F25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EDA6D4D" w14:textId="77777777" w:rsidTr="004B7180">
        <w:trPr>
          <w:trHeight w:val="105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D9ED8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97A2B43" w14:textId="5B6999A2"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6. Variables Operativas - Calidad del agua cruda (2011 y 2014): De acuerdo  a lo establecido en la resolución CRA 782 de 2016, la metodología utilizada para calcular el índice de calidad del agua Wqi corresponde a la establecida en el documento de trabajo de la resolución CRA 346 de 2005 , donde el rango va de 0 a 4, siendo 4 el valor que presenta la mejor calidad del agua cruda. Así las cosas se puede observar que la calidad el agua cruda de las fuentes abastecedoras de la Empresa siempre ha estado en valores superior a 3 (Aceptable), a excepción del año 2011 con 2.94, lo cual se explica en el hecho de que en ese año la ciudad tuvo una fuerte y larga temporada de invierno, situación que desmejora la calidad de agua de las fuentes y larga temporada de invierno, situación que desmejora la calidad de agua de las fuentes superficiales, en cuanto a parámetros de PH, turbiedad y SST. </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 xml:space="preserve">Ahora bien para el dato del año 2014 del 3,12 este representa la mejor calidad del agua para el período analizado (2010-2014); pero como se debe justificar tal valor a la luz de la metodología mediante la cual se analizaron la existencia de atipicidades (análisis de dispersión), en el año 2014 la ciudad registró una temporada de verano que prolongó hasta el 2015, lo que genera que la calidad del agua cruda mejore en los términos de PH, turbiedad y SST. </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 xml:space="preserve">Es importante precisar que la calidad del agua de la fuente de abastecimiento de Pereira debe presentar variaciones para los diferentes años, pues su calidad está asociada de manera directa con las condiciones hidroclimatológicas </w:t>
            </w:r>
            <w:r w:rsidR="00564245" w:rsidRPr="00B72CCC">
              <w:rPr>
                <w:rFonts w:ascii="Arial" w:eastAsia="Times New Roman" w:hAnsi="Arial" w:cs="Arial"/>
                <w:color w:val="000000"/>
                <w:sz w:val="20"/>
                <w:szCs w:val="20"/>
                <w:lang w:val="es-CO" w:eastAsia="es-CO"/>
              </w:rPr>
              <w:t>predominantes</w:t>
            </w:r>
            <w:r w:rsidRPr="00B72CCC">
              <w:rPr>
                <w:rFonts w:ascii="Arial" w:eastAsia="Times New Roman" w:hAnsi="Arial" w:cs="Arial"/>
                <w:color w:val="000000"/>
                <w:sz w:val="20"/>
                <w:szCs w:val="20"/>
                <w:lang w:val="es-CO" w:eastAsia="es-CO"/>
              </w:rPr>
              <w:t xml:space="preserve"> para cada año, ya que su captación se realiza a "filo  de agua", pues no se dispone de embalses o reservorios que permitan homogeneizar o regular las características físico-químicas y bacteriológicas presentes en la fuente de abastecimiento. Por lo tanto, la </w:t>
            </w:r>
            <w:r w:rsidR="004B7180" w:rsidRPr="00B72CCC">
              <w:rPr>
                <w:rFonts w:ascii="Arial" w:eastAsia="Times New Roman" w:hAnsi="Arial" w:cs="Arial"/>
                <w:color w:val="000000"/>
                <w:sz w:val="20"/>
                <w:szCs w:val="20"/>
                <w:lang w:val="es-CO" w:eastAsia="es-CO"/>
              </w:rPr>
              <w:t>variación</w:t>
            </w:r>
            <w:r w:rsidRPr="00B72CCC">
              <w:rPr>
                <w:rFonts w:ascii="Arial" w:eastAsia="Times New Roman" w:hAnsi="Arial" w:cs="Arial"/>
                <w:color w:val="000000"/>
                <w:sz w:val="20"/>
                <w:szCs w:val="20"/>
                <w:lang w:val="es-CO" w:eastAsia="es-CO"/>
              </w:rPr>
              <w:t xml:space="preserve"> registrada para los años 2011 y 2014 no es una condición atípica, sino por el contrario propia de las condiciones de las fuentes empleadas para el abastecimiento y el sistema de captación con el que cuenta la Empresa.</w:t>
            </w:r>
          </w:p>
        </w:tc>
      </w:tr>
      <w:tr w:rsidR="00A5241F" w:rsidRPr="00B72CCC" w14:paraId="2ACC404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9FF32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F3FB9E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4FA0AC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CB418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289CDDE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601117B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77CA46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3BACB2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A5241F" w:rsidRPr="00B72CCC" w14:paraId="75B413C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C7EBA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2A8182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76A3C91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683B5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1B98EAF" w14:textId="0903A9CB"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4B7180">
              <w:rPr>
                <w:rFonts w:ascii="Arial" w:eastAsia="Times New Roman" w:hAnsi="Arial" w:cs="Arial"/>
                <w:color w:val="000000"/>
                <w:sz w:val="20"/>
                <w:szCs w:val="20"/>
                <w:lang w:val="es-CO" w:eastAsia="es-CO"/>
              </w:rPr>
              <w:t>RESPUESTA No.2</w:t>
            </w:r>
          </w:p>
        </w:tc>
      </w:tr>
      <w:tr w:rsidR="00A5241F" w:rsidRPr="00B72CCC" w14:paraId="6DC0941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46702A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EDC8AA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78</w:t>
            </w:r>
          </w:p>
        </w:tc>
      </w:tr>
      <w:tr w:rsidR="00A5241F" w:rsidRPr="00B72CCC" w14:paraId="0ACD45C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FFE2BC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4E1F05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20173210049612</w:t>
            </w:r>
          </w:p>
        </w:tc>
      </w:tr>
      <w:tr w:rsidR="00A5241F" w:rsidRPr="00B72CCC" w14:paraId="0D12B03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FA511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1058D8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25 de mayo de 2017</w:t>
            </w:r>
          </w:p>
        </w:tc>
      </w:tr>
      <w:tr w:rsidR="00A5241F" w:rsidRPr="00B72CCC" w14:paraId="5A79266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FFB8E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0D64435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de Pereira</w:t>
            </w:r>
          </w:p>
        </w:tc>
      </w:tr>
      <w:tr w:rsidR="00A5241F" w:rsidRPr="00B72CCC" w14:paraId="1DDBFE7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C2C1D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E93241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Pereira</w:t>
            </w:r>
          </w:p>
        </w:tc>
      </w:tr>
      <w:tr w:rsidR="00A5241F" w:rsidRPr="00B72CCC" w14:paraId="59660E0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BBED88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3867C9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4D2E869F" w14:textId="77777777" w:rsidTr="001A1254">
        <w:trPr>
          <w:trHeight w:val="105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B363C8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2ABDC4AA" w14:textId="12CF9D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7. Por último, al analizar el contenido de los artículos 5 y 9 de la resolución 791 de 2017, encontramos que aplicar los costos administrativos y operativos eficientes estándar allí establecidos, </w:t>
            </w:r>
            <w:r w:rsidR="004B7180" w:rsidRPr="00B72CCC">
              <w:rPr>
                <w:rFonts w:ascii="Arial" w:eastAsia="Times New Roman" w:hAnsi="Arial" w:cs="Arial"/>
                <w:color w:val="000000"/>
                <w:sz w:val="20"/>
                <w:szCs w:val="20"/>
                <w:lang w:val="es-CO" w:eastAsia="es-CO"/>
              </w:rPr>
              <w:t>por</w:t>
            </w:r>
            <w:r w:rsidRPr="00B72CCC">
              <w:rPr>
                <w:rFonts w:ascii="Arial" w:eastAsia="Times New Roman" w:hAnsi="Arial" w:cs="Arial"/>
                <w:color w:val="000000"/>
                <w:sz w:val="20"/>
                <w:szCs w:val="20"/>
                <w:lang w:val="es-CO" w:eastAsia="es-CO"/>
              </w:rPr>
              <w:t xml:space="preserve"> no hacer parte del grupo básico; este colocaría a la empresa en una situación de inviabilidad, pues solamente </w:t>
            </w:r>
            <w:r w:rsidR="004B7180" w:rsidRPr="00B72CCC">
              <w:rPr>
                <w:rFonts w:ascii="Arial" w:eastAsia="Times New Roman" w:hAnsi="Arial" w:cs="Arial"/>
                <w:color w:val="000000"/>
                <w:sz w:val="20"/>
                <w:szCs w:val="20"/>
                <w:lang w:val="es-CO" w:eastAsia="es-CO"/>
              </w:rPr>
              <w:t>podríamos</w:t>
            </w:r>
            <w:r w:rsidRPr="00B72CCC">
              <w:rPr>
                <w:rFonts w:ascii="Arial" w:eastAsia="Times New Roman" w:hAnsi="Arial" w:cs="Arial"/>
                <w:color w:val="000000"/>
                <w:sz w:val="20"/>
                <w:szCs w:val="20"/>
                <w:lang w:val="es-CO" w:eastAsia="es-CO"/>
              </w:rPr>
              <w:t xml:space="preserve"> incrementar la factura media en una 4,75% y no en el 17,9% que arrojó es estudio actual. </w:t>
            </w:r>
          </w:p>
        </w:tc>
      </w:tr>
      <w:tr w:rsidR="00A5241F" w:rsidRPr="00B72CCC" w14:paraId="764056F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CEF6BF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80C986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1FF93E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54A1D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2D0740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50C4AEF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4DA8FB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FC918A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6406F79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478245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301656A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6795CB0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56560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D2ECDB0" w14:textId="544AB4E2"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A1254" w:rsidRPr="00146648">
              <w:rPr>
                <w:rFonts w:ascii="Arial" w:eastAsia="Times New Roman" w:hAnsi="Arial" w:cs="Arial"/>
                <w:color w:val="000000"/>
                <w:sz w:val="20"/>
                <w:szCs w:val="20"/>
                <w:lang w:val="es-CO" w:eastAsia="es-CO"/>
              </w:rPr>
              <w:t>RESPUESTA No.1</w:t>
            </w:r>
          </w:p>
        </w:tc>
      </w:tr>
      <w:tr w:rsidR="00A5241F" w:rsidRPr="00B72CCC" w14:paraId="2A5FB34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9BA40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5F1DAB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79</w:t>
            </w:r>
          </w:p>
        </w:tc>
      </w:tr>
      <w:tr w:rsidR="00A5241F" w:rsidRPr="00B72CCC" w14:paraId="29A5AFE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46CC79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4C31B2D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20173210049612</w:t>
            </w:r>
          </w:p>
        </w:tc>
      </w:tr>
      <w:tr w:rsidR="00A5241F" w:rsidRPr="00B72CCC" w14:paraId="146D520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5AF32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03034F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25 de mayo de 2017</w:t>
            </w:r>
          </w:p>
        </w:tc>
      </w:tr>
      <w:tr w:rsidR="00A5241F" w:rsidRPr="00B72CCC" w14:paraId="6D991A6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F0D65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725CCFB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Acueducto, alcantarillado de Pereira</w:t>
            </w:r>
          </w:p>
        </w:tc>
      </w:tr>
      <w:tr w:rsidR="00A5241F" w:rsidRPr="00B72CCC" w14:paraId="64DC992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596145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99644D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Pereira</w:t>
            </w:r>
          </w:p>
        </w:tc>
      </w:tr>
      <w:tr w:rsidR="00A5241F" w:rsidRPr="00B72CCC" w14:paraId="50EA54E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DECDA0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274ABA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DCA6898" w14:textId="77777777" w:rsidTr="001A1254">
        <w:trPr>
          <w:trHeight w:val="2136"/>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8C8DC7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5CBEC64D" w14:textId="7FD1EF42" w:rsidR="00A5241F" w:rsidRPr="00B72CCC" w:rsidRDefault="00A5241F" w:rsidP="006829E2">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Ahora bien con base a lo discutido en la reunión de Andesco del 5 de mayo de 2017, donde quedó entendido que corregida la información por parte de los prestadores que no quedaron en la muestra, pueden aplicárseles el modelo e incluso podría la CRA considerar la necesidad de ampliar la muestra; muy respetuosamente solicitamos considerar la inclusión de la Empresa de Acueducto y Alcantarillado de Pereira S.A. E.S.P., en el grupo básico, una vez se hagan las </w:t>
            </w:r>
            <w:r w:rsidR="006829E2" w:rsidRPr="00B72CCC">
              <w:rPr>
                <w:rFonts w:ascii="Arial" w:eastAsia="Times New Roman" w:hAnsi="Arial" w:cs="Arial"/>
                <w:color w:val="000000"/>
                <w:sz w:val="20"/>
                <w:szCs w:val="20"/>
                <w:lang w:val="es-CO" w:eastAsia="es-CO"/>
              </w:rPr>
              <w:t>correcciones</w:t>
            </w:r>
            <w:r w:rsidRPr="00B72CCC">
              <w:rPr>
                <w:rFonts w:ascii="Arial" w:eastAsia="Times New Roman" w:hAnsi="Arial" w:cs="Arial"/>
                <w:color w:val="000000"/>
                <w:sz w:val="20"/>
                <w:szCs w:val="20"/>
                <w:lang w:val="es-CO" w:eastAsia="es-CO"/>
              </w:rPr>
              <w:t xml:space="preserve"> pertinentes al modelo, como quedó acordado en la citada reunión, puesto que a hoy estamos prácticamente al día en la información para tenidos en cuenta para correr el modelo DEA, a excepción de los atípicos del 2010, que se están </w:t>
            </w:r>
            <w:r w:rsidR="006829E2" w:rsidRPr="00B72CCC">
              <w:rPr>
                <w:rFonts w:ascii="Arial" w:eastAsia="Times New Roman" w:hAnsi="Arial" w:cs="Arial"/>
                <w:color w:val="000000"/>
                <w:sz w:val="20"/>
                <w:szCs w:val="20"/>
                <w:lang w:val="es-CO" w:eastAsia="es-CO"/>
              </w:rPr>
              <w:t>reconstruyendo</w:t>
            </w:r>
            <w:r w:rsidRPr="00B72CCC">
              <w:rPr>
                <w:rFonts w:ascii="Arial" w:eastAsia="Times New Roman" w:hAnsi="Arial" w:cs="Arial"/>
                <w:color w:val="000000"/>
                <w:sz w:val="20"/>
                <w:szCs w:val="20"/>
                <w:lang w:val="es-CO" w:eastAsia="es-CO"/>
              </w:rPr>
              <w:t xml:space="preserve"> y que no forman parte del cálculo tarifario, pues sus insumos son de los años 2013 y 2014. </w:t>
            </w:r>
          </w:p>
        </w:tc>
      </w:tr>
      <w:tr w:rsidR="00A5241F" w:rsidRPr="00B72CCC" w14:paraId="141A926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1B42E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25E317F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40E84B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A6E698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8D4500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1A8357E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06437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756DDA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586C0D8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BD0A7F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EC78CA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1FF2255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44EED1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2EAACC1" w14:textId="4049C5A1"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A1254" w:rsidRPr="00146648">
              <w:rPr>
                <w:rFonts w:ascii="Arial" w:eastAsia="Times New Roman" w:hAnsi="Arial" w:cs="Arial"/>
                <w:color w:val="000000"/>
                <w:sz w:val="20"/>
                <w:szCs w:val="20"/>
                <w:lang w:val="es-CO" w:eastAsia="es-CO"/>
              </w:rPr>
              <w:t>RESPUESTA No.1</w:t>
            </w:r>
          </w:p>
        </w:tc>
      </w:tr>
      <w:tr w:rsidR="00A5241F" w:rsidRPr="00B72CCC" w14:paraId="19AB77E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78EF0B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31B5773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80</w:t>
            </w:r>
          </w:p>
        </w:tc>
      </w:tr>
      <w:tr w:rsidR="00A5241F" w:rsidRPr="00B72CCC" w14:paraId="2ADEFE1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223F3F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8525DA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20173210051232</w:t>
            </w:r>
          </w:p>
        </w:tc>
      </w:tr>
      <w:tr w:rsidR="00A5241F" w:rsidRPr="00B72CCC" w14:paraId="3D124B3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C5D9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0C41381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 de junio de 2017</w:t>
            </w:r>
          </w:p>
        </w:tc>
      </w:tr>
      <w:tr w:rsidR="00A5241F" w:rsidRPr="00B72CCC" w14:paraId="3478D48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1DC239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754D606B" w14:textId="11E4D757" w:rsidR="00A5241F" w:rsidRPr="00B72CCC" w:rsidRDefault="006829E2"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Unión</w:t>
            </w:r>
            <w:r w:rsidR="00A5241F" w:rsidRPr="00B72CCC">
              <w:rPr>
                <w:rFonts w:ascii="Arial" w:eastAsia="Times New Roman" w:hAnsi="Arial" w:cs="Arial"/>
                <w:color w:val="000000"/>
                <w:sz w:val="20"/>
                <w:szCs w:val="20"/>
                <w:lang w:val="es-CO" w:eastAsia="es-CO"/>
              </w:rPr>
              <w:t xml:space="preserve"> Sindical Emcali</w:t>
            </w:r>
          </w:p>
        </w:tc>
      </w:tr>
      <w:tr w:rsidR="00A5241F" w:rsidRPr="00B72CCC" w14:paraId="080CC5D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7ECA0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D18B60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Cali</w:t>
            </w:r>
          </w:p>
        </w:tc>
      </w:tr>
      <w:tr w:rsidR="00A5241F" w:rsidRPr="00B72CCC" w14:paraId="5A4CCD2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D0EE75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FCE598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6C55DEB7" w14:textId="77777777" w:rsidTr="006829E2">
        <w:trPr>
          <w:trHeight w:val="268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F66636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260015E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De acuerdo a las resoluciones 688 y 735, el Anexo II "Metodología para determinar el puntaje de eficiencia comparativa (PDEA)", en el punto 8 determino que eran 22 empresas las que pertenecían a segmento I.</w:t>
            </w:r>
            <w:r w:rsidRPr="00B72CCC">
              <w:rPr>
                <w:rFonts w:ascii="Arial" w:eastAsia="Times New Roman" w:hAnsi="Arial" w:cs="Arial"/>
                <w:color w:val="000000"/>
                <w:sz w:val="20"/>
                <w:szCs w:val="20"/>
                <w:lang w:val="es-CO" w:eastAsia="es-CO"/>
              </w:rPr>
              <w:br w:type="page"/>
              <w:t>Posteriormente expiden el acto administrativo 782 que determino que:</w:t>
            </w:r>
            <w:r w:rsidRPr="00B72CCC">
              <w:rPr>
                <w:rFonts w:ascii="Arial" w:eastAsia="Times New Roman" w:hAnsi="Arial" w:cs="Arial"/>
                <w:color w:val="000000"/>
                <w:sz w:val="20"/>
                <w:szCs w:val="20"/>
                <w:lang w:val="es-CO" w:eastAsia="es-CO"/>
              </w:rPr>
              <w:br w:type="page"/>
              <w:t>a. Dos (2) empresas cumplen con todos los parámetros</w:t>
            </w:r>
            <w:r w:rsidRPr="00B72CCC">
              <w:rPr>
                <w:rFonts w:ascii="Arial" w:eastAsia="Times New Roman" w:hAnsi="Arial" w:cs="Arial"/>
                <w:color w:val="000000"/>
                <w:sz w:val="20"/>
                <w:szCs w:val="20"/>
                <w:lang w:val="es-CO" w:eastAsia="es-CO"/>
              </w:rPr>
              <w:br w:type="page"/>
              <w:t>b. Dos (2) empresas no reportan información</w:t>
            </w:r>
            <w:r w:rsidRPr="00B72CCC">
              <w:rPr>
                <w:rFonts w:ascii="Arial" w:eastAsia="Times New Roman" w:hAnsi="Arial" w:cs="Arial"/>
                <w:color w:val="000000"/>
                <w:sz w:val="20"/>
                <w:szCs w:val="20"/>
                <w:lang w:val="es-CO" w:eastAsia="es-CO"/>
              </w:rPr>
              <w:br w:type="page"/>
              <w:t>c. Dieciocho (18) empresas presentan datos atípicos</w:t>
            </w:r>
            <w:r w:rsidRPr="00B72CCC">
              <w:rPr>
                <w:rFonts w:ascii="Arial" w:eastAsia="Times New Roman" w:hAnsi="Arial" w:cs="Arial"/>
                <w:color w:val="000000"/>
                <w:sz w:val="20"/>
                <w:szCs w:val="20"/>
                <w:lang w:val="es-CO" w:eastAsia="es-CO"/>
              </w:rPr>
              <w:br w:type="page"/>
              <w:t>Y a las empresas ubicadas en el punto e) les dan un plazo prudencial para que justifiquen sus datos atípicos y puedan entrar a formar parte 'de la metodología para determinar el puntaje PDEA.</w:t>
            </w:r>
            <w:r w:rsidRPr="00B72CCC">
              <w:rPr>
                <w:rFonts w:ascii="Arial" w:eastAsia="Times New Roman" w:hAnsi="Arial" w:cs="Arial"/>
                <w:color w:val="000000"/>
                <w:sz w:val="20"/>
                <w:szCs w:val="20"/>
                <w:lang w:val="es-CO" w:eastAsia="es-CO"/>
              </w:rPr>
              <w:br w:type="page"/>
              <w:t>De acuerdo con la resolución del asunto, solo nueve (9) empresas cumplieron con los parámetros mínimos del total de veintidós (22) lo que a mi entender no son ni el cincuenta por ciento (50%) lo que realmente me llama poderosamente la atención pues al no cumplir ni el cincuenta por ciento (50%), valdría la pena revisar que esta pasado donde radica por llamarlo de alguna manera la falla para que sean tantas las empresas que se encuentran por fuera como Aguas de Cartagena, Acueducto Metropolitano de Bucaramanga, empresa de acueducto y alcantarillado de Pereira, donde observamos son empresas de importantes capitales del país.</w:t>
            </w:r>
          </w:p>
        </w:tc>
      </w:tr>
      <w:tr w:rsidR="00A5241F" w:rsidRPr="00B72CCC" w14:paraId="78A7FF1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4E067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D5B0A5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15340B2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FF23FF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B8CD77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739B2C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89C1C0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67ECEC7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Impactos en las empresas que no entran en la muestra</w:t>
            </w:r>
          </w:p>
        </w:tc>
      </w:tr>
      <w:tr w:rsidR="00A5241F" w:rsidRPr="00B72CCC" w14:paraId="7FA5B9D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8D6D8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BB025C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243C207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D7BE6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6AF7584" w14:textId="52EC4CB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6829E2">
              <w:rPr>
                <w:rFonts w:ascii="Arial" w:eastAsia="Times New Roman" w:hAnsi="Arial" w:cs="Arial"/>
                <w:color w:val="000000"/>
                <w:sz w:val="20"/>
                <w:szCs w:val="20"/>
                <w:lang w:val="es-CO" w:eastAsia="es-CO"/>
              </w:rPr>
              <w:t>RESPUESTA No.9</w:t>
            </w:r>
          </w:p>
        </w:tc>
      </w:tr>
      <w:tr w:rsidR="00A5241F" w:rsidRPr="00B72CCC" w14:paraId="519BCB4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B67B6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0A9EAA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81</w:t>
            </w:r>
          </w:p>
        </w:tc>
      </w:tr>
      <w:tr w:rsidR="00A5241F" w:rsidRPr="00B72CCC" w14:paraId="01EB194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0D24EF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F2D24D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20173210051232</w:t>
            </w:r>
          </w:p>
        </w:tc>
      </w:tr>
      <w:tr w:rsidR="00A5241F" w:rsidRPr="00B72CCC" w14:paraId="630C01D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335BC9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F90DA1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 de junio de 2017</w:t>
            </w:r>
          </w:p>
        </w:tc>
      </w:tr>
      <w:tr w:rsidR="00A5241F" w:rsidRPr="00B72CCC" w14:paraId="3DF636D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EAF929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10984E08" w14:textId="1236553B" w:rsidR="00A5241F" w:rsidRPr="00B72CCC" w:rsidRDefault="006829E2"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Unión</w:t>
            </w:r>
            <w:r w:rsidR="00A5241F" w:rsidRPr="00B72CCC">
              <w:rPr>
                <w:rFonts w:ascii="Arial" w:eastAsia="Times New Roman" w:hAnsi="Arial" w:cs="Arial"/>
                <w:color w:val="000000"/>
                <w:sz w:val="20"/>
                <w:szCs w:val="20"/>
                <w:lang w:val="es-CO" w:eastAsia="es-CO"/>
              </w:rPr>
              <w:t xml:space="preserve"> Sindical Emcali</w:t>
            </w:r>
          </w:p>
        </w:tc>
      </w:tr>
      <w:tr w:rsidR="00A5241F" w:rsidRPr="00B72CCC" w14:paraId="53DFCA8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9A296D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D81B3E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Cali</w:t>
            </w:r>
          </w:p>
        </w:tc>
      </w:tr>
      <w:tr w:rsidR="00A5241F" w:rsidRPr="00B72CCC" w14:paraId="2CD9026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68C76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DB67CA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7960E558" w14:textId="77777777" w:rsidTr="006829E2">
        <w:trPr>
          <w:trHeight w:val="349"/>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3D632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A11010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El acto administrativo 791, Anexo I "Variables del modelo para costos administrativos eficientes estándar por suscriptor mensual para cada servicios públicos domiciliario", se puede observar a simple vista que de las nueve (9) empresas solo cuatro(4) tienen puntajes de eficiencia del cien por ciento (100%) para ambos servicios públicos, las demás tendrían que aplicar unos puntajes de eficiencia para los costos administrativos incluso se pensaría que inferiores a los que aplicaban antes del 30 de junio de 2016. Por lo anterior quisiera conocer si la CRA:</w:t>
            </w:r>
            <w:r w:rsidRPr="00B72CCC">
              <w:rPr>
                <w:rFonts w:ascii="Arial" w:eastAsia="Times New Roman" w:hAnsi="Arial" w:cs="Arial"/>
                <w:color w:val="000000"/>
                <w:sz w:val="20"/>
                <w:szCs w:val="20"/>
                <w:lang w:val="es-CO" w:eastAsia="es-CO"/>
              </w:rPr>
              <w:br/>
              <w:t>a) Midió los impactos que esta regulación podría ocasionar a las empresas, en que años se hizo la medición del impacto, con cual proyecto de resolución?</w:t>
            </w:r>
            <w:r w:rsidRPr="00B72CCC">
              <w:rPr>
                <w:rFonts w:ascii="Arial" w:eastAsia="Times New Roman" w:hAnsi="Arial" w:cs="Arial"/>
                <w:color w:val="000000"/>
                <w:sz w:val="20"/>
                <w:szCs w:val="20"/>
                <w:lang w:val="es-CO" w:eastAsia="es-CO"/>
              </w:rPr>
              <w:br/>
              <w:t>b) Es acaso una falla en el modelo que aplica la regulación?</w:t>
            </w:r>
            <w:r w:rsidRPr="00B72CCC">
              <w:rPr>
                <w:rFonts w:ascii="Arial" w:eastAsia="Times New Roman" w:hAnsi="Arial" w:cs="Arial"/>
                <w:color w:val="000000"/>
                <w:sz w:val="20"/>
                <w:szCs w:val="20"/>
                <w:lang w:val="es-CO" w:eastAsia="es-CO"/>
              </w:rPr>
              <w:br/>
              <w:t>c) Tiene certeza que efectivamente con el paso del tiempo las empresas se vuelven ineficientes, como el ente regulador va a trabajar para minimizar las ineficiencias?</w:t>
            </w:r>
            <w:r w:rsidRPr="00B72CCC">
              <w:rPr>
                <w:rFonts w:ascii="Arial" w:eastAsia="Times New Roman" w:hAnsi="Arial" w:cs="Arial"/>
                <w:color w:val="000000"/>
                <w:sz w:val="20"/>
                <w:szCs w:val="20"/>
                <w:lang w:val="es-CO" w:eastAsia="es-CO"/>
              </w:rPr>
              <w:br/>
              <w:t>d) Como se alinea con la política del postconflicto del gobierno nacional de lograr un país más justo, equitativo, sostenible y en paz?</w:t>
            </w:r>
          </w:p>
        </w:tc>
      </w:tr>
      <w:tr w:rsidR="00A5241F" w:rsidRPr="00B72CCC" w14:paraId="2863CDE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4B5A9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6DEB21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AE3125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DF598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E799F5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622319B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4437AF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BCFE8C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Impactos en las empresas que no entran en la muestra</w:t>
            </w:r>
          </w:p>
        </w:tc>
      </w:tr>
      <w:tr w:rsidR="00A5241F" w:rsidRPr="00B72CCC" w14:paraId="118B0AC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79DD35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CC0F52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6E5116D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29542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Respuesta</w:t>
            </w:r>
          </w:p>
        </w:tc>
        <w:tc>
          <w:tcPr>
            <w:tcW w:w="0" w:type="auto"/>
            <w:tcBorders>
              <w:top w:val="nil"/>
              <w:left w:val="nil"/>
              <w:bottom w:val="single" w:sz="4" w:space="0" w:color="auto"/>
              <w:right w:val="single" w:sz="4" w:space="0" w:color="auto"/>
            </w:tcBorders>
            <w:shd w:val="clear" w:color="auto" w:fill="auto"/>
            <w:vAlign w:val="bottom"/>
            <w:hideMark/>
          </w:tcPr>
          <w:p w14:paraId="328D35AE" w14:textId="56B5AE10"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6829E2">
              <w:rPr>
                <w:rFonts w:ascii="Arial" w:eastAsia="Times New Roman" w:hAnsi="Arial" w:cs="Arial"/>
                <w:color w:val="000000"/>
                <w:sz w:val="20"/>
                <w:szCs w:val="20"/>
                <w:lang w:val="es-CO" w:eastAsia="es-CO"/>
              </w:rPr>
              <w:t>RESPUESTA No.9</w:t>
            </w:r>
          </w:p>
        </w:tc>
      </w:tr>
      <w:tr w:rsidR="00A5241F" w:rsidRPr="00B72CCC" w14:paraId="7C0B2AF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E5627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60013F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82</w:t>
            </w:r>
          </w:p>
        </w:tc>
      </w:tr>
      <w:tr w:rsidR="00A5241F" w:rsidRPr="00B72CCC" w14:paraId="015B1B4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7D561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A5BDDD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20173210051232</w:t>
            </w:r>
          </w:p>
        </w:tc>
      </w:tr>
      <w:tr w:rsidR="00A5241F" w:rsidRPr="00B72CCC" w14:paraId="53AC565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F329B9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3886C3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 de junio de 2017</w:t>
            </w:r>
          </w:p>
        </w:tc>
      </w:tr>
      <w:tr w:rsidR="00A5241F" w:rsidRPr="00B72CCC" w14:paraId="5C030C5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78BCB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3ED91E6" w14:textId="7AA1296F" w:rsidR="00A5241F" w:rsidRPr="00B72CCC" w:rsidRDefault="006829E2"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Unión</w:t>
            </w:r>
            <w:r w:rsidR="00A5241F" w:rsidRPr="00B72CCC">
              <w:rPr>
                <w:rFonts w:ascii="Arial" w:eastAsia="Times New Roman" w:hAnsi="Arial" w:cs="Arial"/>
                <w:color w:val="000000"/>
                <w:sz w:val="20"/>
                <w:szCs w:val="20"/>
                <w:lang w:val="es-CO" w:eastAsia="es-CO"/>
              </w:rPr>
              <w:t xml:space="preserve"> Sindical Emcali</w:t>
            </w:r>
          </w:p>
        </w:tc>
      </w:tr>
      <w:tr w:rsidR="00A5241F" w:rsidRPr="00B72CCC" w14:paraId="47AC615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BFCE24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F82CAD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Cali</w:t>
            </w:r>
          </w:p>
        </w:tc>
      </w:tr>
      <w:tr w:rsidR="00A5241F" w:rsidRPr="00B72CCC" w14:paraId="2DA8DD0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B1FFCA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52CAAF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227ED493" w14:textId="77777777" w:rsidTr="006829E2">
        <w:trPr>
          <w:trHeight w:val="168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234B1C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A94333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Los artículos 6 y 9 del acto administrativo 791 contemplan:</w:t>
            </w:r>
            <w:r w:rsidRPr="00B72CCC">
              <w:rPr>
                <w:rFonts w:ascii="Arial" w:eastAsia="Times New Roman" w:hAnsi="Arial" w:cs="Arial"/>
                <w:color w:val="000000"/>
                <w:sz w:val="20"/>
                <w:szCs w:val="20"/>
                <w:lang w:val="es-CO" w:eastAsia="es-CO"/>
              </w:rPr>
              <w:br/>
              <w:t>CAUac $3.251 suscriptor/mes</w:t>
            </w:r>
            <w:r w:rsidRPr="00B72CCC">
              <w:rPr>
                <w:rFonts w:ascii="Arial" w:eastAsia="Times New Roman" w:hAnsi="Arial" w:cs="Arial"/>
                <w:color w:val="000000"/>
                <w:sz w:val="20"/>
                <w:szCs w:val="20"/>
                <w:lang w:val="es-CO" w:eastAsia="es-CO"/>
              </w:rPr>
              <w:br/>
              <w:t>CAUalc $1.536 suscriptor/mes</w:t>
            </w:r>
            <w:r w:rsidRPr="00B72CCC">
              <w:rPr>
                <w:rFonts w:ascii="Arial" w:eastAsia="Times New Roman" w:hAnsi="Arial" w:cs="Arial"/>
                <w:color w:val="000000"/>
                <w:sz w:val="20"/>
                <w:szCs w:val="20"/>
                <w:lang w:val="es-CO" w:eastAsia="es-CO"/>
              </w:rPr>
              <w:br/>
              <w:t>COUac $6.378 suscriptor/mes</w:t>
            </w:r>
            <w:r w:rsidRPr="00B72CCC">
              <w:rPr>
                <w:rFonts w:ascii="Arial" w:eastAsia="Times New Roman" w:hAnsi="Arial" w:cs="Arial"/>
                <w:color w:val="000000"/>
                <w:sz w:val="20"/>
                <w:szCs w:val="20"/>
                <w:lang w:val="es-CO" w:eastAsia="es-CO"/>
              </w:rPr>
              <w:br/>
              <w:t>COUalc $1.696 suscriptor/mes</w:t>
            </w:r>
            <w:r w:rsidRPr="00B72CCC">
              <w:rPr>
                <w:rFonts w:ascii="Arial" w:eastAsia="Times New Roman" w:hAnsi="Arial" w:cs="Arial"/>
                <w:color w:val="000000"/>
                <w:sz w:val="20"/>
                <w:szCs w:val="20"/>
                <w:lang w:val="es-CO" w:eastAsia="es-CO"/>
              </w:rPr>
              <w:br/>
              <w:t>La CRA evaluó los impactos de aplicar estos valores mínimos en las trece (13) empresas que no forman parte de las empresas que cumplieron con los parámetros mínimos de inclusión? Si efectivamente la CRA evaluó los impactos anteriores, cuanto representa en porcentajes por empresa la baja en sus ingresos? La anterior solicitud teniendo en cuenta que las empresas entregaron sus estudios tarifarios a la CRA y pueden evaluar la medida.</w:t>
            </w:r>
          </w:p>
        </w:tc>
      </w:tr>
      <w:tr w:rsidR="00A5241F" w:rsidRPr="00B72CCC" w14:paraId="1668F5D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ADD96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67A21A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FB96C2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ABA5C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B037C0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760C6C5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7832E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94563A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Impactos en las empresas que no entran en la muestra</w:t>
            </w:r>
          </w:p>
        </w:tc>
      </w:tr>
      <w:tr w:rsidR="00A5241F" w:rsidRPr="00B72CCC" w14:paraId="66F248F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5A5E0E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7B21C3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79D5717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7E53E4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0925BB8" w14:textId="4708D0E5"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6829E2">
              <w:rPr>
                <w:rFonts w:ascii="Arial" w:eastAsia="Times New Roman" w:hAnsi="Arial" w:cs="Arial"/>
                <w:color w:val="000000"/>
                <w:sz w:val="20"/>
                <w:szCs w:val="20"/>
                <w:lang w:val="es-CO" w:eastAsia="es-CO"/>
              </w:rPr>
              <w:t>RESPUESTA No.9</w:t>
            </w:r>
          </w:p>
        </w:tc>
      </w:tr>
      <w:tr w:rsidR="00A5241F" w:rsidRPr="00B72CCC" w14:paraId="64B1822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C6FCBD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37EB9B4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83</w:t>
            </w:r>
          </w:p>
        </w:tc>
      </w:tr>
      <w:tr w:rsidR="00A5241F" w:rsidRPr="00B72CCC" w14:paraId="6650E61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8DC1B2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F0B0F2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20173210051232</w:t>
            </w:r>
          </w:p>
        </w:tc>
      </w:tr>
      <w:tr w:rsidR="00A5241F" w:rsidRPr="00B72CCC" w14:paraId="6F31C43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896FC1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352812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1 de junio de 2017</w:t>
            </w:r>
          </w:p>
        </w:tc>
      </w:tr>
      <w:tr w:rsidR="00A5241F" w:rsidRPr="00B72CCC" w14:paraId="562B069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340F59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E19FDD0" w14:textId="0C7A2AF3" w:rsidR="00A5241F" w:rsidRPr="00B72CCC" w:rsidRDefault="006829E2"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Unión</w:t>
            </w:r>
            <w:r w:rsidR="00A5241F" w:rsidRPr="00B72CCC">
              <w:rPr>
                <w:rFonts w:ascii="Arial" w:eastAsia="Times New Roman" w:hAnsi="Arial" w:cs="Arial"/>
                <w:color w:val="000000"/>
                <w:sz w:val="20"/>
                <w:szCs w:val="20"/>
                <w:lang w:val="es-CO" w:eastAsia="es-CO"/>
              </w:rPr>
              <w:t xml:space="preserve"> Sindical Emcali</w:t>
            </w:r>
          </w:p>
        </w:tc>
      </w:tr>
      <w:tr w:rsidR="00A5241F" w:rsidRPr="00B72CCC" w14:paraId="0B728D1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A92D5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343C616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Cali</w:t>
            </w:r>
          </w:p>
        </w:tc>
      </w:tr>
      <w:tr w:rsidR="00A5241F" w:rsidRPr="00B72CCC" w14:paraId="3269723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49C1DF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3436B92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77A1E286" w14:textId="77777777" w:rsidTr="005977ED">
        <w:trPr>
          <w:trHeight w:val="105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24EB30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0368BE6" w14:textId="59584A02"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Los artículos 6 y 10 del acto administrativo 791, plantea un procedimiento a seguir para las nuevas tarifas que tendrán que aplicar las empresas, me lleva a pensar que las trece (13) empresas que no entraron a formar parte de la muestra, deberán hacer esta aplicación en dos espacios de tiempo diferentes:</w:t>
            </w:r>
            <w:r w:rsidRPr="00B72CCC">
              <w:rPr>
                <w:rFonts w:ascii="Arial" w:eastAsia="Times New Roman" w:hAnsi="Arial" w:cs="Arial"/>
                <w:color w:val="000000"/>
                <w:sz w:val="20"/>
                <w:szCs w:val="20"/>
                <w:lang w:val="es-CO" w:eastAsia="es-CO"/>
              </w:rPr>
              <w:br w:type="page"/>
              <w:t>a) Cuando aplique las tarifas de los artículos 5 y 9</w:t>
            </w:r>
            <w:r w:rsidRPr="00B72CCC">
              <w:rPr>
                <w:rFonts w:ascii="Arial" w:eastAsia="Times New Roman" w:hAnsi="Arial" w:cs="Arial"/>
                <w:color w:val="000000"/>
                <w:sz w:val="20"/>
                <w:szCs w:val="20"/>
                <w:lang w:val="es-CO" w:eastAsia="es-CO"/>
              </w:rPr>
              <w:br w:type="page"/>
              <w:t>b) Cuando entre al modelo PDEA</w:t>
            </w:r>
            <w:r w:rsidRPr="00B72CCC">
              <w:rPr>
                <w:rFonts w:ascii="Arial" w:eastAsia="Times New Roman" w:hAnsi="Arial" w:cs="Arial"/>
                <w:color w:val="000000"/>
                <w:sz w:val="20"/>
                <w:szCs w:val="20"/>
                <w:lang w:val="es-CO" w:eastAsia="es-CO"/>
              </w:rPr>
              <w:br w:type="page"/>
              <w:t xml:space="preserve">Lo cual a nosotros como usuarios de los servicios no tendremos una tarifa estable en al menos seis (6) meses sin incluir en el paso del tiempo una actualización tarifaria y a las empresas llevara que tengan que presentar a Juntas Directivas la aprobación de estos actos mínimo dos (2) veces. Considero que para minimizar los impactos que se </w:t>
            </w:r>
            <w:r w:rsidR="005977ED" w:rsidRPr="00B72CCC">
              <w:rPr>
                <w:rFonts w:ascii="Arial" w:eastAsia="Times New Roman" w:hAnsi="Arial" w:cs="Arial"/>
                <w:color w:val="000000"/>
                <w:sz w:val="20"/>
                <w:szCs w:val="20"/>
                <w:lang w:val="es-CO" w:eastAsia="es-CO"/>
              </w:rPr>
              <w:t>pueden</w:t>
            </w:r>
            <w:r w:rsidRPr="00B72CCC">
              <w:rPr>
                <w:rFonts w:ascii="Arial" w:eastAsia="Times New Roman" w:hAnsi="Arial" w:cs="Arial"/>
                <w:color w:val="000000"/>
                <w:sz w:val="20"/>
                <w:szCs w:val="20"/>
                <w:lang w:val="es-CO" w:eastAsia="es-CO"/>
              </w:rPr>
              <w:t xml:space="preserve"> presentar por la aplicación de los artículos 5 y 9 y los procedimientos de los artículos 6 y 10, la CRA debería contemplar, la aplicación de la resolución definitiva con las variables PDEA para el 1 de enero de 2018 con esta consideración se lograría que:</w:t>
            </w:r>
            <w:r w:rsidRPr="00B72CCC">
              <w:rPr>
                <w:rFonts w:ascii="Arial" w:eastAsia="Times New Roman" w:hAnsi="Arial" w:cs="Arial"/>
                <w:color w:val="000000"/>
                <w:sz w:val="20"/>
                <w:szCs w:val="20"/>
                <w:lang w:val="es-CO" w:eastAsia="es-CO"/>
              </w:rPr>
              <w:br w:type="page"/>
              <w:t>a. Dos (2) empresas no reportan información</w:t>
            </w:r>
            <w:r w:rsidRPr="00B72CCC">
              <w:rPr>
                <w:rFonts w:ascii="Arial" w:eastAsia="Times New Roman" w:hAnsi="Arial" w:cs="Arial"/>
                <w:color w:val="000000"/>
                <w:sz w:val="20"/>
                <w:szCs w:val="20"/>
                <w:lang w:val="es-CO" w:eastAsia="es-CO"/>
              </w:rPr>
              <w:br w:type="page"/>
              <w:t>b. Once (11) empresas que no entraron a la modelo</w:t>
            </w:r>
            <w:r w:rsidRPr="00B72CCC">
              <w:rPr>
                <w:rFonts w:ascii="Arial" w:eastAsia="Times New Roman" w:hAnsi="Arial" w:cs="Arial"/>
                <w:color w:val="000000"/>
                <w:sz w:val="20"/>
                <w:szCs w:val="20"/>
                <w:lang w:val="es-CO" w:eastAsia="es-CO"/>
              </w:rPr>
              <w:br w:type="page"/>
              <w:t xml:space="preserve">Las trece (13) empresas citadas anteriormente podrían tener toda su información al cien por ciento (100%), para que cumplan con los parámetros mínimos de eficiencia comparativa PDEA, les puedan correr el modelo y estoy </w:t>
            </w:r>
            <w:r w:rsidRPr="00B72CCC">
              <w:rPr>
                <w:rFonts w:ascii="Arial" w:eastAsia="Times New Roman" w:hAnsi="Arial" w:cs="Arial"/>
                <w:color w:val="000000"/>
                <w:sz w:val="20"/>
                <w:szCs w:val="20"/>
                <w:lang w:val="es-CO" w:eastAsia="es-CO"/>
              </w:rPr>
              <w:lastRenderedPageBreak/>
              <w:t>casi seguro que sería un número mayor a nueve (9) empresas las que entrarían a formar parte del modelo de eficiencia y con esta medida se lograría:</w:t>
            </w:r>
            <w:r w:rsidRPr="00B72CCC">
              <w:rPr>
                <w:rFonts w:ascii="Arial" w:eastAsia="Times New Roman" w:hAnsi="Arial" w:cs="Arial"/>
                <w:color w:val="000000"/>
                <w:sz w:val="20"/>
                <w:szCs w:val="20"/>
                <w:lang w:val="es-CO" w:eastAsia="es-CO"/>
              </w:rPr>
              <w:br w:type="page"/>
              <w:t>• Minimizar los impactos en los ingresos a las empresas, al aplicar los artículos 5 y 9 del acto administrativo 791.</w:t>
            </w:r>
            <w:r w:rsidRPr="00B72CCC">
              <w:rPr>
                <w:rFonts w:ascii="Arial" w:eastAsia="Times New Roman" w:hAnsi="Arial" w:cs="Arial"/>
                <w:color w:val="000000"/>
                <w:sz w:val="20"/>
                <w:szCs w:val="20"/>
                <w:lang w:val="es-CO" w:eastAsia="es-CO"/>
              </w:rPr>
              <w:br w:type="page"/>
              <w:t>• Dar una señal de tranquilidad en el sentido que efectivamente se está trabajando en el mejoramiento de las eficiencias.</w:t>
            </w:r>
            <w:r w:rsidRPr="00B72CCC">
              <w:rPr>
                <w:rFonts w:ascii="Arial" w:eastAsia="Times New Roman" w:hAnsi="Arial" w:cs="Arial"/>
                <w:color w:val="000000"/>
                <w:sz w:val="20"/>
                <w:szCs w:val="20"/>
                <w:lang w:val="es-CO" w:eastAsia="es-CO"/>
              </w:rPr>
              <w:br w:type="page"/>
              <w:t>• Como usuarios no nos vemos afectados con tres tarifas diferentes en menos de 18 meses.</w:t>
            </w:r>
          </w:p>
        </w:tc>
      </w:tr>
      <w:tr w:rsidR="00A5241F" w:rsidRPr="00B72CCC" w14:paraId="22D1506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7C252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DA9B6A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3D1031C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06658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3772757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3227EBC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51EB2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EB6B41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Plazo para el cálculo del DEA de los que no hacen parte del grupo básico</w:t>
            </w:r>
          </w:p>
        </w:tc>
      </w:tr>
      <w:tr w:rsidR="00A5241F" w:rsidRPr="00B72CCC" w14:paraId="21CDCDC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08C790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80BA53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6C4697F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5C17D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B0C91EA" w14:textId="478CB9B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977ED" w:rsidRPr="00146648">
              <w:rPr>
                <w:rFonts w:ascii="Arial" w:eastAsia="Times New Roman" w:hAnsi="Arial" w:cs="Arial"/>
                <w:color w:val="000000"/>
                <w:sz w:val="20"/>
                <w:szCs w:val="20"/>
                <w:lang w:val="es-CO" w:eastAsia="es-CO"/>
              </w:rPr>
              <w:t>RESPUESTA No.1</w:t>
            </w:r>
            <w:r w:rsidR="005977ED">
              <w:rPr>
                <w:rFonts w:ascii="Arial" w:eastAsia="Times New Roman" w:hAnsi="Arial" w:cs="Arial"/>
                <w:color w:val="000000"/>
                <w:sz w:val="20"/>
                <w:szCs w:val="20"/>
                <w:lang w:val="es-CO" w:eastAsia="es-CO"/>
              </w:rPr>
              <w:t>4</w:t>
            </w:r>
          </w:p>
        </w:tc>
      </w:tr>
      <w:tr w:rsidR="00A5241F" w:rsidRPr="00B72CCC" w14:paraId="74A35B5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41F13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BD0CF0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84</w:t>
            </w:r>
          </w:p>
        </w:tc>
      </w:tr>
      <w:tr w:rsidR="00A5241F" w:rsidRPr="00B72CCC" w14:paraId="6350BCB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F3247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FCAD4C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20173210056502</w:t>
            </w:r>
          </w:p>
        </w:tc>
      </w:tr>
      <w:tr w:rsidR="00A5241F" w:rsidRPr="00B72CCC" w14:paraId="00E0597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B639E3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7B90AC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22 de junio de 2017</w:t>
            </w:r>
          </w:p>
        </w:tc>
      </w:tr>
      <w:tr w:rsidR="00A5241F" w:rsidRPr="00B72CCC" w14:paraId="4538313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D5729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C99D97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4A995FB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C4474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FEE0DE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0F5A632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F8E94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01A632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5BF54ADC" w14:textId="77777777" w:rsidTr="003302C2">
        <w:trPr>
          <w:trHeight w:val="49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99B7BE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CEE45B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se considera necesario revisar la forma de relacionar las variables explicativas con el input, y como se conserva la relación conceptual que se ha formulado entre ellas, es decir si una variación en mayor magnitud de una variable explicativa debe conllevar mayores o menores costos como resultado de la definición de eficiencia."</w:t>
            </w:r>
          </w:p>
        </w:tc>
      </w:tr>
      <w:tr w:rsidR="00A5241F" w:rsidRPr="00B72CCC" w14:paraId="760884F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C45D3F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4DE219E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173AB60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E1CD9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49946B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6AA405D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2669C7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58E2EB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26CEF1B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81DD3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E0FFFA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2104B2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C1B1F9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6796D8B6" w14:textId="35F142BF"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3302C2">
              <w:rPr>
                <w:rFonts w:ascii="Arial" w:eastAsia="Times New Roman" w:hAnsi="Arial" w:cs="Arial"/>
                <w:color w:val="000000"/>
                <w:sz w:val="20"/>
                <w:szCs w:val="20"/>
                <w:lang w:val="es-CO" w:eastAsia="es-CO"/>
              </w:rPr>
              <w:t>RESPUESTA No.3</w:t>
            </w:r>
          </w:p>
        </w:tc>
      </w:tr>
      <w:tr w:rsidR="00A5241F" w:rsidRPr="00B72CCC" w14:paraId="630A239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45B5A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955FE5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85</w:t>
            </w:r>
          </w:p>
        </w:tc>
      </w:tr>
      <w:tr w:rsidR="00A5241F" w:rsidRPr="00B72CCC" w14:paraId="77E1262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03701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9EF998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20173210056502</w:t>
            </w:r>
          </w:p>
        </w:tc>
      </w:tr>
      <w:tr w:rsidR="00A5241F" w:rsidRPr="00B72CCC" w14:paraId="5FCEA25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81B83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72847D7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22 de junio de 2017</w:t>
            </w:r>
          </w:p>
        </w:tc>
      </w:tr>
      <w:tr w:rsidR="00A5241F" w:rsidRPr="00B72CCC" w14:paraId="2BD5CA0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35AD9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751E54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6068DE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3B55F3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011A80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5B696E9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23EF80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34BD40B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45D91FDA" w14:textId="77777777" w:rsidTr="003302C2">
        <w:trPr>
          <w:trHeight w:val="801"/>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C4B88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73E8D24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"Siendo así, para el caso del costo administrativo se hace necesario definir outputs controlables (los suscriptores micromedidos) y outputs no controlables (los demás), así como una relación inversa entre el costo y los usuarios industriales y comerciales. Para el costo de operación, es necesario también definir una relación inversa del costo con la calidad del agua cruda."</w:t>
            </w:r>
          </w:p>
        </w:tc>
      </w:tr>
      <w:tr w:rsidR="00A5241F" w:rsidRPr="00B72CCC" w14:paraId="079E5F2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A7D17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21C02A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57BCBD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1B5A55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094548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7E02D1E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9478FD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Eje temático</w:t>
            </w:r>
          </w:p>
        </w:tc>
        <w:tc>
          <w:tcPr>
            <w:tcW w:w="0" w:type="auto"/>
            <w:tcBorders>
              <w:top w:val="nil"/>
              <w:left w:val="nil"/>
              <w:bottom w:val="single" w:sz="4" w:space="0" w:color="auto"/>
              <w:right w:val="single" w:sz="4" w:space="0" w:color="auto"/>
            </w:tcBorders>
            <w:shd w:val="clear" w:color="auto" w:fill="auto"/>
            <w:vAlign w:val="bottom"/>
            <w:hideMark/>
          </w:tcPr>
          <w:p w14:paraId="6965B5F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35A7DF3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D3B201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04C2EA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E78F97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42B33B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86B1107" w14:textId="350B6A2A"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3302C2">
              <w:rPr>
                <w:rFonts w:ascii="Arial" w:eastAsia="Times New Roman" w:hAnsi="Arial" w:cs="Arial"/>
                <w:color w:val="000000"/>
                <w:sz w:val="20"/>
                <w:szCs w:val="20"/>
                <w:lang w:val="es-CO" w:eastAsia="es-CO"/>
              </w:rPr>
              <w:t>RESPUESTA No.3</w:t>
            </w:r>
          </w:p>
        </w:tc>
      </w:tr>
      <w:tr w:rsidR="00A5241F" w:rsidRPr="00B72CCC" w14:paraId="5250C65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206D50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B2700A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86</w:t>
            </w:r>
          </w:p>
        </w:tc>
      </w:tr>
      <w:tr w:rsidR="00A5241F" w:rsidRPr="00B72CCC" w14:paraId="21D0AB4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D67A2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21A30D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20173210056502</w:t>
            </w:r>
          </w:p>
        </w:tc>
      </w:tr>
      <w:tr w:rsidR="00A5241F" w:rsidRPr="00B72CCC" w14:paraId="73C7C5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D48AB3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7DC918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22 de junio de 2017</w:t>
            </w:r>
          </w:p>
        </w:tc>
      </w:tr>
      <w:tr w:rsidR="00A5241F" w:rsidRPr="00B72CCC" w14:paraId="223F8E0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1E726F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BCE3E7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438D35A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B37CBB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68E7E3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7AAECE5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B4F7B6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33D889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49EBE6A6" w14:textId="77777777" w:rsidTr="00E014C0">
        <w:trPr>
          <w:trHeight w:val="122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F2EE19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6491D6D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Teniendo en cuenta que los resultados del DEA dependen del tratamiento que las empresas hagan sobre los costos, hemos insistido que para efectos de contar con criterios uniformes y evitar distorsiones en los resultados, la CRA realice un ejercicio de verificación de los datos, y de la forma en cada empresa realizó las respectivos inclusiones, exclusiones y traslados entre cuentas para la definición de los costos operativos y de administración comparados, al igual que se realizó en el marco de la Resolución CRA 346 de 2005. Esto garantiza sin lugar a dudas brinda mayor rigurosidad al ejercicio.</w:t>
            </w:r>
          </w:p>
        </w:tc>
      </w:tr>
      <w:tr w:rsidR="00A5241F" w:rsidRPr="00B72CCC" w14:paraId="260648C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FC416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D65D0C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B1865A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A225A1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2E660B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01C791E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20195F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1E2B85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Verificación de las exclusiones e inclusiones que hicieron las empresas</w:t>
            </w:r>
          </w:p>
        </w:tc>
      </w:tr>
      <w:tr w:rsidR="00A5241F" w:rsidRPr="00B72CCC" w14:paraId="579EB02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034A3F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E82B67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01425EC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DD86F2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732C3035" w14:textId="6FC16928"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E014C0" w:rsidRPr="00146648">
              <w:rPr>
                <w:rFonts w:ascii="Arial" w:eastAsia="Times New Roman" w:hAnsi="Arial" w:cs="Arial"/>
                <w:color w:val="000000"/>
                <w:sz w:val="20"/>
                <w:szCs w:val="20"/>
                <w:lang w:val="es-CO" w:eastAsia="es-CO"/>
              </w:rPr>
              <w:t>RESPUESTA No.1</w:t>
            </w:r>
            <w:r w:rsidR="00E014C0">
              <w:rPr>
                <w:rFonts w:ascii="Arial" w:eastAsia="Times New Roman" w:hAnsi="Arial" w:cs="Arial"/>
                <w:color w:val="000000"/>
                <w:sz w:val="20"/>
                <w:szCs w:val="20"/>
                <w:lang w:val="es-CO" w:eastAsia="es-CO"/>
              </w:rPr>
              <w:t>1</w:t>
            </w:r>
          </w:p>
        </w:tc>
      </w:tr>
      <w:tr w:rsidR="00A5241F" w:rsidRPr="00B72CCC" w14:paraId="7F96B8F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3A1BE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24D6E8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87</w:t>
            </w:r>
          </w:p>
        </w:tc>
      </w:tr>
      <w:tr w:rsidR="00A5241F" w:rsidRPr="00B72CCC" w14:paraId="0A60A8E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41C55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A3CD26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20173210056502</w:t>
            </w:r>
          </w:p>
        </w:tc>
      </w:tr>
      <w:tr w:rsidR="00A5241F" w:rsidRPr="00B72CCC" w14:paraId="2DA8367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3CD74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E1B701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22 de junio de 2017</w:t>
            </w:r>
          </w:p>
        </w:tc>
      </w:tr>
      <w:tr w:rsidR="00A5241F" w:rsidRPr="00B72CCC" w14:paraId="20E4603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93F374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793928E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3FD9EE3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4C26D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87C33BF" w14:textId="7917A563" w:rsidR="00A5241F" w:rsidRPr="00B72CCC" w:rsidRDefault="00564245"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35DF5C1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695A1C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56C46A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7AFA08D6" w14:textId="77777777" w:rsidTr="001A1254">
        <w:trPr>
          <w:trHeight w:val="2334"/>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DBEB7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13E6092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Por otro lado, sería importante realizar los ajustes regulatorios necesarios para aumentar la muestra de empresas. Si bien somos conscientes de los plazos máximos establecidos para realizar los reportes correspondientes en el sistema único de información SUI, la habilitación de las respectivas reversiones y cargues por parte de la Superservicios tardó más tiempo de lo que normalmente toma este trámite. Esta situación se refleja en el bajo número de empresas de la muestra. Por tanto, con el ánimo de minimizar el impacto financiero que tendría la aplicación del menor valor de la muestra, consideramos importante incrementar el número de empresas que la conforman, o alternativamente, fijar un período de transición durante el cual las empresas podrían solicitar a la CRA el puntaje de eficiencia comparativa una vez cumpla con los requisitos mínimos para el ejercicio.</w:t>
            </w:r>
          </w:p>
        </w:tc>
      </w:tr>
      <w:tr w:rsidR="00A5241F" w:rsidRPr="00B72CCC" w14:paraId="45A12EE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531FA9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4968696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0426C3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90FF2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Tipo de Consulta</w:t>
            </w:r>
          </w:p>
        </w:tc>
        <w:tc>
          <w:tcPr>
            <w:tcW w:w="0" w:type="auto"/>
            <w:tcBorders>
              <w:top w:val="nil"/>
              <w:left w:val="nil"/>
              <w:bottom w:val="single" w:sz="4" w:space="0" w:color="auto"/>
              <w:right w:val="single" w:sz="4" w:space="0" w:color="auto"/>
            </w:tcBorders>
            <w:shd w:val="clear" w:color="auto" w:fill="auto"/>
            <w:vAlign w:val="bottom"/>
            <w:hideMark/>
          </w:tcPr>
          <w:p w14:paraId="7C994D9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3A09A3B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F3DD25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71BB506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665C91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D9906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B855D6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224FCBC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8591D0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DBC77E1" w14:textId="47A1FB5A"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A1254" w:rsidRPr="00146648">
              <w:rPr>
                <w:rFonts w:ascii="Arial" w:eastAsia="Times New Roman" w:hAnsi="Arial" w:cs="Arial"/>
                <w:color w:val="000000"/>
                <w:sz w:val="20"/>
                <w:szCs w:val="20"/>
                <w:lang w:val="es-CO" w:eastAsia="es-CO"/>
              </w:rPr>
              <w:t>RESPUESTA No.1</w:t>
            </w:r>
          </w:p>
        </w:tc>
      </w:tr>
      <w:tr w:rsidR="00A5241F" w:rsidRPr="00B72CCC" w14:paraId="4344684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487CD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9EAE44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88</w:t>
            </w:r>
          </w:p>
        </w:tc>
      </w:tr>
      <w:tr w:rsidR="00A5241F" w:rsidRPr="00B72CCC" w14:paraId="391C6AE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2609E8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FAF09E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20173210056502</w:t>
            </w:r>
          </w:p>
        </w:tc>
      </w:tr>
      <w:tr w:rsidR="00A5241F" w:rsidRPr="00B72CCC" w14:paraId="3BDD929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23D839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CEE451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22 de junio de 2017</w:t>
            </w:r>
          </w:p>
        </w:tc>
      </w:tr>
      <w:tr w:rsidR="00A5241F" w:rsidRPr="00B72CCC" w14:paraId="4A107E2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E4E9CA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8DB8F2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6FEEF05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5C4589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8884C9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43AF150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86BE8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184900C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62D83F48" w14:textId="77777777" w:rsidTr="001A1254">
        <w:trPr>
          <w:trHeight w:val="3580"/>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C58AE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6B6D801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Uno de los puntos más importantes tiene que ver con los impactos que significa la propuesta en términos financieros. Nos preocupa que la CRA no haya recogido en documento de trabajo el análisis sobre la reducción de ingresos que tendría la aplicación de los resultados provenientes de la aplicación del DEA con los valores señalados, más aún para las empresas que no hicieron parte de la muestra, las cuales deben aplicar el menor valor para los componentes Cau y Cou.</w:t>
            </w:r>
            <w:r w:rsidRPr="00B72CCC">
              <w:rPr>
                <w:rFonts w:ascii="Arial" w:eastAsia="Times New Roman" w:hAnsi="Arial" w:cs="Arial"/>
                <w:color w:val="000000"/>
                <w:sz w:val="20"/>
                <w:szCs w:val="20"/>
                <w:lang w:val="es-CO" w:eastAsia="es-CO"/>
              </w:rPr>
              <w:br/>
              <w:t>Debemos advertir que la disminución de ingresos para algunas de nuestras compañías afiliadas en el componente de cargo fijo y operativos no puede pasar inadvertidos por la CRA, en la medida que podrían rondar entre el 20% y el 30%, lo cual y dadas las características de este sector, representaría una afectación directa sobre la gestión de los servicios. Consideramos importante que las propuestas normativas vengan acompañadas del respectivo ejercicio de impacto, en especial cuando se tratan de propuestas tendientes a regular los ingresos, por lo tanto invitamos a la CRA a realizar las evaluaciones pertinentes para lo cual ponemos a su disposición la información que consideren necesaria.</w:t>
            </w:r>
          </w:p>
        </w:tc>
      </w:tr>
      <w:tr w:rsidR="00A5241F" w:rsidRPr="00B72CCC" w14:paraId="3948E9E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00A54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CD1021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5BAFC94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42A88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146FEF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5F8879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1C9A58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FE0D64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Impactos en las empresas que no entran en la muestra</w:t>
            </w:r>
          </w:p>
        </w:tc>
      </w:tr>
      <w:tr w:rsidR="00A5241F" w:rsidRPr="00B72CCC" w14:paraId="758BA3D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19B6E4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2E1A53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4812E61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918604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732EF4C" w14:textId="170EFD75"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6829E2">
              <w:rPr>
                <w:rFonts w:ascii="Arial" w:eastAsia="Times New Roman" w:hAnsi="Arial" w:cs="Arial"/>
                <w:color w:val="000000"/>
                <w:sz w:val="20"/>
                <w:szCs w:val="20"/>
                <w:lang w:val="es-CO" w:eastAsia="es-CO"/>
              </w:rPr>
              <w:t>RESPUESTA No.9</w:t>
            </w:r>
          </w:p>
        </w:tc>
      </w:tr>
      <w:tr w:rsidR="00A5241F" w:rsidRPr="00B72CCC" w14:paraId="4EC2634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12C68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356A9F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89</w:t>
            </w:r>
          </w:p>
        </w:tc>
      </w:tr>
      <w:tr w:rsidR="00A5241F" w:rsidRPr="00B72CCC" w14:paraId="3DFFFC3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267AE1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E8EF95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20173210056502</w:t>
            </w:r>
          </w:p>
        </w:tc>
      </w:tr>
      <w:tr w:rsidR="00A5241F" w:rsidRPr="00B72CCC" w14:paraId="33485C3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7B5E4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7DCF8F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22 de junio de 2017</w:t>
            </w:r>
          </w:p>
        </w:tc>
      </w:tr>
      <w:tr w:rsidR="00A5241F" w:rsidRPr="00B72CCC" w14:paraId="742A4D5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06C2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7061D4B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30DC911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5E4F85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C18DCD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5F360AB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B65A8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26BA96C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31AFD474" w14:textId="77777777" w:rsidTr="001A1254">
        <w:trPr>
          <w:trHeight w:val="261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459C1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048306FD" w14:textId="1CAED7D4" w:rsidR="00A5241F" w:rsidRPr="00B72CCC" w:rsidRDefault="00A5241F" w:rsidP="00D92E34">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Para efectos informativos, es importante que el documento de soporte incluya las memorias de cálculo de los menores valores definidos por la Resolución para los componentes C</w:t>
            </w:r>
            <w:r w:rsidR="00D92E34">
              <w:rPr>
                <w:rFonts w:ascii="Arial" w:eastAsia="Times New Roman" w:hAnsi="Arial" w:cs="Arial"/>
                <w:color w:val="000000"/>
                <w:sz w:val="20"/>
                <w:szCs w:val="20"/>
                <w:lang w:val="es-CO" w:eastAsia="es-CO"/>
              </w:rPr>
              <w:t>AU</w:t>
            </w:r>
            <w:r w:rsidRPr="00B72CCC">
              <w:rPr>
                <w:rFonts w:ascii="Arial" w:eastAsia="Times New Roman" w:hAnsi="Arial" w:cs="Arial"/>
                <w:color w:val="000000"/>
                <w:sz w:val="20"/>
                <w:szCs w:val="20"/>
                <w:lang w:val="es-CO" w:eastAsia="es-CO"/>
              </w:rPr>
              <w:t xml:space="preserve"> y C</w:t>
            </w:r>
            <w:r w:rsidR="00D92E34">
              <w:rPr>
                <w:rFonts w:ascii="Arial" w:eastAsia="Times New Roman" w:hAnsi="Arial" w:cs="Arial"/>
                <w:color w:val="000000"/>
                <w:sz w:val="20"/>
                <w:szCs w:val="20"/>
                <w:lang w:val="es-CO" w:eastAsia="es-CO"/>
              </w:rPr>
              <w:t>OU</w:t>
            </w:r>
            <w:r w:rsidRPr="00B72CCC">
              <w:rPr>
                <w:rFonts w:ascii="Arial" w:eastAsia="Times New Roman" w:hAnsi="Arial" w:cs="Arial"/>
                <w:color w:val="000000"/>
                <w:sz w:val="20"/>
                <w:szCs w:val="20"/>
                <w:lang w:val="es-CO" w:eastAsia="es-CO"/>
              </w:rPr>
              <w:t>.</w:t>
            </w:r>
            <w:r w:rsidRPr="00B72CCC">
              <w:rPr>
                <w:rFonts w:ascii="Arial" w:eastAsia="Times New Roman" w:hAnsi="Arial" w:cs="Arial"/>
                <w:color w:val="000000"/>
                <w:sz w:val="20"/>
                <w:szCs w:val="20"/>
                <w:lang w:val="es-CO" w:eastAsia="es-CO"/>
              </w:rPr>
              <w:br/>
              <w:t>De otro lado, sería importante revisar desde el punto de vista conceptual si aquellas empresas que vienen aplicando tarifas contractuales deben hacer parte de la muestra de empresas. Lo anterior teniendo en cuenta que en el marco de los incentivos dados por el Gobierno para promover la participación privada en el sector, la vinculación de algunos operadores especializados se realizó bajo una estructuración financiera de un contrato de prestación donde la recuperación de costos e inversiones y por ende de tarifas dista del modelo general. Por lo anterior, para mantener la consistencia conceptual consideramos importante revisar la pertinencia de incluir este tipo de empresas en el modelo de eficiencia.</w:t>
            </w:r>
          </w:p>
        </w:tc>
      </w:tr>
      <w:tr w:rsidR="00A5241F" w:rsidRPr="00B72CCC" w14:paraId="7B2C751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17636F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F28615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4C5717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393FB3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F1A734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696F7C0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59DBF3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FBC64B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2D7D386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F59B9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D5FC10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6516AC1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7EABCB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43566969" w14:textId="1A4866B7" w:rsidR="00A5241F" w:rsidRPr="00B72CCC" w:rsidRDefault="001A1254" w:rsidP="00A5241F">
            <w:pPr>
              <w:suppressAutoHyphens w:val="0"/>
              <w:spacing w:after="0" w:line="240" w:lineRule="auto"/>
              <w:jc w:val="both"/>
              <w:rPr>
                <w:rFonts w:ascii="Arial" w:eastAsia="Times New Roman" w:hAnsi="Arial" w:cs="Arial"/>
                <w:color w:val="000000"/>
                <w:sz w:val="20"/>
                <w:szCs w:val="20"/>
                <w:lang w:val="es-CO" w:eastAsia="es-CO"/>
              </w:rPr>
            </w:pPr>
            <w:r w:rsidRPr="00146648">
              <w:rPr>
                <w:rFonts w:ascii="Arial" w:eastAsia="Times New Roman" w:hAnsi="Arial" w:cs="Arial"/>
                <w:color w:val="000000"/>
                <w:sz w:val="20"/>
                <w:szCs w:val="20"/>
                <w:lang w:val="es-CO" w:eastAsia="es-CO"/>
              </w:rPr>
              <w:t>RESPUESTA No.1</w:t>
            </w:r>
          </w:p>
        </w:tc>
      </w:tr>
      <w:tr w:rsidR="00A5241F" w:rsidRPr="00B72CCC" w14:paraId="6F156A2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D420F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3201187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90</w:t>
            </w:r>
          </w:p>
        </w:tc>
      </w:tr>
      <w:tr w:rsidR="00A5241F" w:rsidRPr="00B72CCC" w14:paraId="4AC2AC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396F00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0821DE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20173210056502</w:t>
            </w:r>
          </w:p>
        </w:tc>
      </w:tr>
      <w:tr w:rsidR="00A5241F" w:rsidRPr="00B72CCC" w14:paraId="67C222E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951DC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4861AE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22 de junio de 2017</w:t>
            </w:r>
          </w:p>
        </w:tc>
      </w:tr>
      <w:tr w:rsidR="00A5241F" w:rsidRPr="00B72CCC" w14:paraId="3559E2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C1A06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832866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ANDESCO</w:t>
            </w:r>
          </w:p>
        </w:tc>
      </w:tr>
      <w:tr w:rsidR="00A5241F" w:rsidRPr="00B72CCC" w14:paraId="3473624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496EC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02B33E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Bogotá D.C.</w:t>
            </w:r>
          </w:p>
        </w:tc>
      </w:tr>
      <w:tr w:rsidR="00A5241F" w:rsidRPr="00B72CCC" w14:paraId="6139D2A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98D7E6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54371BF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OTRO</w:t>
            </w:r>
          </w:p>
        </w:tc>
      </w:tr>
      <w:tr w:rsidR="00A5241F" w:rsidRPr="00B72CCC" w14:paraId="287A5650" w14:textId="77777777" w:rsidTr="001A1254">
        <w:trPr>
          <w:trHeight w:val="208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253931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5B3F5A5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Finalmente, respecto al plazo concedido para la participación ciudadana, debemos señalar que es muy corto para realizar los ejercicios de análisis sobre todo por lo que significa para algunas empresas la propuesta. Nuestra solicitud puntal es que la CRA revise la posibilidad de ampliar el plazo de participación, para que cada empresa pueda realizar los descargos correspondientes ante posibles inconsistencias y controversias frente a la información publicada. Del mismo modo, es importante que ante la incertidumbre que se deriva sobre el tratamiento conceptual que se está dando variables del modelo, la CRA brinde un espacio de retroalimentación con las empresas, para conocer la postura de la entidad frente a los argumentos expuestos por el sector empresarial.</w:t>
            </w:r>
          </w:p>
        </w:tc>
      </w:tr>
      <w:tr w:rsidR="00A5241F" w:rsidRPr="00B72CCC" w14:paraId="0A039D5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4E123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61D383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9382A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B7948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8CADAC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3F31014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C86BF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45E361F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Ampliación del plazo de participación ciudadana</w:t>
            </w:r>
          </w:p>
        </w:tc>
      </w:tr>
      <w:tr w:rsidR="00A5241F" w:rsidRPr="00B72CCC" w14:paraId="182FB74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60B4A3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0A2A69F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54DE7CA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968EA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1FECA764" w14:textId="23F15AB9"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D92E34" w:rsidRPr="00146648">
              <w:rPr>
                <w:rFonts w:ascii="Arial" w:eastAsia="Times New Roman" w:hAnsi="Arial" w:cs="Arial"/>
                <w:color w:val="000000"/>
                <w:sz w:val="20"/>
                <w:szCs w:val="20"/>
                <w:lang w:val="es-CO" w:eastAsia="es-CO"/>
              </w:rPr>
              <w:t>RESPUESTA No.1</w:t>
            </w:r>
            <w:r w:rsidR="00D92E34">
              <w:rPr>
                <w:rFonts w:ascii="Arial" w:eastAsia="Times New Roman" w:hAnsi="Arial" w:cs="Arial"/>
                <w:color w:val="000000"/>
                <w:sz w:val="20"/>
                <w:szCs w:val="20"/>
                <w:lang w:val="es-CO" w:eastAsia="es-CO"/>
              </w:rPr>
              <w:t>2</w:t>
            </w:r>
          </w:p>
        </w:tc>
      </w:tr>
      <w:tr w:rsidR="00A5241F" w:rsidRPr="00B72CCC" w14:paraId="07FD8D5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61A80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1B78E53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91</w:t>
            </w:r>
          </w:p>
        </w:tc>
      </w:tr>
      <w:tr w:rsidR="00A5241F" w:rsidRPr="00B72CCC" w14:paraId="4846DC6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524758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2BDD95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20173210058862</w:t>
            </w:r>
          </w:p>
        </w:tc>
      </w:tr>
      <w:tr w:rsidR="00A5241F" w:rsidRPr="00B72CCC" w14:paraId="52913A9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1815AE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A89C68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04 de julio de 2017</w:t>
            </w:r>
          </w:p>
        </w:tc>
      </w:tr>
      <w:tr w:rsidR="00A5241F" w:rsidRPr="00B72CCC" w14:paraId="0DBC6C0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81E37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Remitente</w:t>
            </w:r>
          </w:p>
        </w:tc>
        <w:tc>
          <w:tcPr>
            <w:tcW w:w="0" w:type="auto"/>
            <w:tcBorders>
              <w:top w:val="nil"/>
              <w:left w:val="nil"/>
              <w:bottom w:val="single" w:sz="4" w:space="0" w:color="auto"/>
              <w:right w:val="single" w:sz="4" w:space="0" w:color="auto"/>
            </w:tcBorders>
            <w:shd w:val="clear" w:color="auto" w:fill="auto"/>
            <w:vAlign w:val="bottom"/>
            <w:hideMark/>
          </w:tcPr>
          <w:p w14:paraId="1A00049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Ibaguereña de Acueducto y Alcantarillado IBAL S.A. E.S.P - OFICIAL </w:t>
            </w:r>
          </w:p>
        </w:tc>
      </w:tr>
      <w:tr w:rsidR="00A5241F" w:rsidRPr="00B72CCC" w14:paraId="522C937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88D5E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6C81FF5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Ibagué</w:t>
            </w:r>
          </w:p>
        </w:tc>
      </w:tr>
      <w:tr w:rsidR="00A5241F" w:rsidRPr="00B72CCC" w14:paraId="6253EA4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321987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AE3DAF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30DD947A" w14:textId="77777777" w:rsidTr="006829E2">
        <w:trPr>
          <w:trHeight w:val="20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84EA61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C4792F6" w14:textId="0A9F6859"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La Resolución CRA 770 de 2016 en su parte resolutiva, el artículo 1, que trata de la modificación del artículo 7 dispone: "Que aquellos datos atípicos que correspondan a errores de digitación, serán considerados datos atípicos no justificables y no serán incluidos en el cálculo DEA"</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 xml:space="preserve">Una vez surtido el proceso de participación ciudadana, la Comisión expide la Resolución CRA 782 de 2016, contempla en su parte considerativa: "Que una sea publicada la presente resolución en el Diario Oficial y durante el plazo previsto en el presente acto administrativo, las personas prestadoras podrán presentar ante la Comisión de Regulación de Agua Potable y Saneamiento Básico - CRA, las justificaciones a que haya lugar con sus correspondientes soportes, respecto de los datos atípicos de su </w:t>
            </w:r>
            <w:r w:rsidR="004B7180" w:rsidRPr="00B72CCC">
              <w:rPr>
                <w:rFonts w:ascii="Arial" w:eastAsia="Times New Roman" w:hAnsi="Arial" w:cs="Arial"/>
                <w:color w:val="000000"/>
                <w:sz w:val="20"/>
                <w:szCs w:val="20"/>
                <w:lang w:val="es-CO" w:eastAsia="es-CO"/>
              </w:rPr>
              <w:t>información</w:t>
            </w:r>
            <w:r w:rsidRPr="00B72CCC">
              <w:rPr>
                <w:rFonts w:ascii="Arial" w:eastAsia="Times New Roman" w:hAnsi="Arial" w:cs="Arial"/>
                <w:color w:val="000000"/>
                <w:sz w:val="20"/>
                <w:szCs w:val="20"/>
                <w:lang w:val="es-CO" w:eastAsia="es-CO"/>
              </w:rPr>
              <w:t xml:space="preserve"> reportada en el SUI al primero (1°) de noviembre de 2016, salvo que se trate de una atipicidad derivada de errores de digitación en el cargue de la </w:t>
            </w:r>
            <w:r w:rsidR="004B7180" w:rsidRPr="00B72CCC">
              <w:rPr>
                <w:rFonts w:ascii="Arial" w:eastAsia="Times New Roman" w:hAnsi="Arial" w:cs="Arial"/>
                <w:color w:val="000000"/>
                <w:sz w:val="20"/>
                <w:szCs w:val="20"/>
                <w:lang w:val="es-CO" w:eastAsia="es-CO"/>
              </w:rPr>
              <w:t>información</w:t>
            </w:r>
            <w:r w:rsidRPr="00B72CCC">
              <w:rPr>
                <w:rFonts w:ascii="Arial" w:eastAsia="Times New Roman" w:hAnsi="Arial" w:cs="Arial"/>
                <w:color w:val="000000"/>
                <w:sz w:val="20"/>
                <w:szCs w:val="20"/>
                <w:lang w:val="es-CO" w:eastAsia="es-CO"/>
              </w:rPr>
              <w:t xml:space="preserve"> o de omisiones en la </w:t>
            </w:r>
            <w:r w:rsidR="004B7180" w:rsidRPr="00B72CCC">
              <w:rPr>
                <w:rFonts w:ascii="Arial" w:eastAsia="Times New Roman" w:hAnsi="Arial" w:cs="Arial"/>
                <w:color w:val="000000"/>
                <w:sz w:val="20"/>
                <w:szCs w:val="20"/>
                <w:lang w:val="es-CO" w:eastAsia="es-CO"/>
              </w:rPr>
              <w:t>información</w:t>
            </w:r>
            <w:r w:rsidRPr="00B72CCC">
              <w:rPr>
                <w:rFonts w:ascii="Arial" w:eastAsia="Times New Roman" w:hAnsi="Arial" w:cs="Arial"/>
                <w:color w:val="000000"/>
                <w:sz w:val="20"/>
                <w:szCs w:val="20"/>
                <w:lang w:val="es-CO" w:eastAsia="es-CO"/>
              </w:rPr>
              <w:t xml:space="preserve"> reportada al SUI, tal y como lo prevé el numeral 7 del Anexo II2 de la Resolución CRA 688 de 2014, para lo cual la Comisión de Regulación podrá convocar a reuniones con los prestadores de servicios públicos, con el acompañamiento de la Superintendencia de Servicios Públicos Domiciliarios, como entidad de vigilancia y control". [Negrilla y  subrayas nuestras]</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 xml:space="preserve">Igualmente contempla en su parte resolutiva, el artículo 2: "Otorgar un término máximo de un (1) mes contado a partir de la </w:t>
            </w:r>
            <w:r w:rsidR="004B7180" w:rsidRPr="00B72CCC">
              <w:rPr>
                <w:rFonts w:ascii="Arial" w:eastAsia="Times New Roman" w:hAnsi="Arial" w:cs="Arial"/>
                <w:color w:val="000000"/>
                <w:sz w:val="20"/>
                <w:szCs w:val="20"/>
                <w:lang w:val="es-CO" w:eastAsia="es-CO"/>
              </w:rPr>
              <w:t>publicación</w:t>
            </w:r>
            <w:r w:rsidRPr="00B72CCC">
              <w:rPr>
                <w:rFonts w:ascii="Arial" w:eastAsia="Times New Roman" w:hAnsi="Arial" w:cs="Arial"/>
                <w:color w:val="000000"/>
                <w:sz w:val="20"/>
                <w:szCs w:val="20"/>
                <w:lang w:val="es-CO" w:eastAsia="es-CO"/>
              </w:rPr>
              <w:t xml:space="preserve"> de la </w:t>
            </w:r>
            <w:r w:rsidR="004B7180" w:rsidRPr="00B72CCC">
              <w:rPr>
                <w:rFonts w:ascii="Arial" w:eastAsia="Times New Roman" w:hAnsi="Arial" w:cs="Arial"/>
                <w:color w:val="000000"/>
                <w:sz w:val="20"/>
                <w:szCs w:val="20"/>
                <w:lang w:val="es-CO" w:eastAsia="es-CO"/>
              </w:rPr>
              <w:t>presente</w:t>
            </w:r>
            <w:r w:rsidRPr="00B72CCC">
              <w:rPr>
                <w:rFonts w:ascii="Arial" w:eastAsia="Times New Roman" w:hAnsi="Arial" w:cs="Arial"/>
                <w:color w:val="000000"/>
                <w:sz w:val="20"/>
                <w:szCs w:val="20"/>
                <w:lang w:val="es-CO" w:eastAsia="es-CO"/>
              </w:rPr>
              <w:t xml:space="preserve"> resolución en el Diario Oficial, para que las personas prestadoras de los servicios públicos domiciliarios de acueducto y alcantarillado, listadas en el numeral 8 del Anexo II de la Resolución CRA 688 de 2014 modificado y adicionado por el artículo 47 de la Resolución CRA 735 de 2015 y la Resolución CRA 770 de 2016, presenten las justificaciones y soportes que sustenten los datos atípicos de la información reportada en el SUI, </w:t>
            </w:r>
            <w:r w:rsidR="004B7180" w:rsidRPr="00B72CCC">
              <w:rPr>
                <w:rFonts w:ascii="Arial" w:eastAsia="Times New Roman" w:hAnsi="Arial" w:cs="Arial"/>
                <w:color w:val="000000"/>
                <w:sz w:val="20"/>
                <w:szCs w:val="20"/>
                <w:lang w:val="es-CO" w:eastAsia="es-CO"/>
              </w:rPr>
              <w:t>relacionada</w:t>
            </w:r>
            <w:r w:rsidRPr="00B72CCC">
              <w:rPr>
                <w:rFonts w:ascii="Arial" w:eastAsia="Times New Roman" w:hAnsi="Arial" w:cs="Arial"/>
                <w:color w:val="000000"/>
                <w:sz w:val="20"/>
                <w:szCs w:val="20"/>
                <w:lang w:val="es-CO" w:eastAsia="es-CO"/>
              </w:rPr>
              <w:t xml:space="preserve"> en el Anexo de la presente resolución, de conformidad con lo establecido en el numeral 7 del Anexo II de la Resolución CRA 688 de 2014 modificado y adicionado por el </w:t>
            </w:r>
            <w:r w:rsidR="004B7180" w:rsidRPr="00B72CCC">
              <w:rPr>
                <w:rFonts w:ascii="Arial" w:eastAsia="Times New Roman" w:hAnsi="Arial" w:cs="Arial"/>
                <w:color w:val="000000"/>
                <w:sz w:val="20"/>
                <w:szCs w:val="20"/>
                <w:lang w:val="es-CO" w:eastAsia="es-CO"/>
              </w:rPr>
              <w:t>artículo</w:t>
            </w:r>
            <w:r w:rsidRPr="00B72CCC">
              <w:rPr>
                <w:rFonts w:ascii="Arial" w:eastAsia="Times New Roman" w:hAnsi="Arial" w:cs="Arial"/>
                <w:color w:val="000000"/>
                <w:sz w:val="20"/>
                <w:szCs w:val="20"/>
                <w:lang w:val="es-CO" w:eastAsia="es-CO"/>
              </w:rPr>
              <w:t xml:space="preserve"> 47 de la Resolución CRA 735 de 2015 y la Resolución CRA 770 de 2016". </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 xml:space="preserve">En consecuencia, la CRA no estableció que no se aceptaría justificación por errores de digitación. Por el contrario, la Comisión, consciente  de la importancia de contar con información adecuada para el modelo DEA, contempló en la parte considerativa, que frente a este tipo de error, se podría solicitar una reunión con la SSPD, por lo que la empresa IBAL S.A E.S.P - OFICIAL, tras revisar el contenido de la Resolución CRA 782 de 2016, IBAL, teniendo en cuenta el posible impacto financiero que implicaría no quedar incluida en la muestra para el cálculo del DEA, justificó las dos atipicidades y solicitó mediante el oficio N° 100-021 del 18 de enero de 2017 a la CRA convocar a la reunión de la que trata la parte considerativa de la mencionada resolución, para que junto con la SSPD se constará su información comercial del número de suscriptores totales de alcantarillado. </w:t>
            </w:r>
          </w:p>
        </w:tc>
      </w:tr>
      <w:tr w:rsidR="00A5241F" w:rsidRPr="00B72CCC" w14:paraId="132B609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95CD2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0EB6FC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21E1441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2251EC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51997C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1E678B1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9FE85D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1462691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A5241F" w:rsidRPr="00B72CCC" w14:paraId="12451C6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4F365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AE36FC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3DB67B3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05EC0A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Respuesta</w:t>
            </w:r>
          </w:p>
        </w:tc>
        <w:tc>
          <w:tcPr>
            <w:tcW w:w="0" w:type="auto"/>
            <w:tcBorders>
              <w:top w:val="nil"/>
              <w:left w:val="nil"/>
              <w:bottom w:val="single" w:sz="4" w:space="0" w:color="auto"/>
              <w:right w:val="single" w:sz="4" w:space="0" w:color="auto"/>
            </w:tcBorders>
            <w:shd w:val="clear" w:color="auto" w:fill="auto"/>
            <w:vAlign w:val="bottom"/>
            <w:hideMark/>
          </w:tcPr>
          <w:p w14:paraId="4E12AE53" w14:textId="1B282368"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4B7180">
              <w:rPr>
                <w:rFonts w:ascii="Arial" w:eastAsia="Times New Roman" w:hAnsi="Arial" w:cs="Arial"/>
                <w:color w:val="000000"/>
                <w:sz w:val="20"/>
                <w:szCs w:val="20"/>
                <w:lang w:val="es-CO" w:eastAsia="es-CO"/>
              </w:rPr>
              <w:t>RESPUESTA No.2</w:t>
            </w:r>
          </w:p>
        </w:tc>
      </w:tr>
      <w:tr w:rsidR="00A5241F" w:rsidRPr="00B72CCC" w14:paraId="66D1899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A11B9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BACFF7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92</w:t>
            </w:r>
          </w:p>
        </w:tc>
      </w:tr>
      <w:tr w:rsidR="00A5241F" w:rsidRPr="00B72CCC" w14:paraId="691C0C3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F984E6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6103C7F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20173210058862</w:t>
            </w:r>
          </w:p>
        </w:tc>
      </w:tr>
      <w:tr w:rsidR="00A5241F" w:rsidRPr="00B72CCC" w14:paraId="075CDE8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40CF1D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2FA5D15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04 de julio de 2017</w:t>
            </w:r>
          </w:p>
        </w:tc>
      </w:tr>
      <w:tr w:rsidR="00A5241F" w:rsidRPr="00B72CCC" w14:paraId="0FD743F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D1DEC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E5C23D3" w14:textId="47FEDD74"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w:t>
            </w:r>
            <w:r w:rsidR="00564245">
              <w:rPr>
                <w:rFonts w:ascii="Arial" w:eastAsia="Times New Roman" w:hAnsi="Arial" w:cs="Arial"/>
                <w:color w:val="000000"/>
                <w:sz w:val="20"/>
                <w:szCs w:val="20"/>
                <w:lang w:val="es-CO" w:eastAsia="es-CO"/>
              </w:rPr>
              <w:t>s</w:t>
            </w:r>
            <w:r w:rsidRPr="00B72CCC">
              <w:rPr>
                <w:rFonts w:ascii="Arial" w:eastAsia="Times New Roman" w:hAnsi="Arial" w:cs="Arial"/>
                <w:color w:val="000000"/>
                <w:sz w:val="20"/>
                <w:szCs w:val="20"/>
                <w:lang w:val="es-CO" w:eastAsia="es-CO"/>
              </w:rPr>
              <w:t xml:space="preserve">a Ibaguereña de Acueducto y Alcantarillado IBAL S.A E.S.P - OFICIAL </w:t>
            </w:r>
          </w:p>
        </w:tc>
      </w:tr>
      <w:tr w:rsidR="00A5241F" w:rsidRPr="00B72CCC" w14:paraId="53B7206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56832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1F1C8F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Ibagué</w:t>
            </w:r>
          </w:p>
        </w:tc>
      </w:tr>
      <w:tr w:rsidR="00A5241F" w:rsidRPr="00B72CCC" w14:paraId="6403F5B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36372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924CE1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22B262FD" w14:textId="77777777" w:rsidTr="001A1254">
        <w:trPr>
          <w:trHeight w:val="629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6F65CC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451017A" w14:textId="492EF0DE"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Ahora bien, la empresa IBAL S.A E.S.P </w:t>
            </w:r>
            <w:r w:rsidR="001A1254" w:rsidRPr="00B72CCC">
              <w:rPr>
                <w:rFonts w:ascii="Arial" w:eastAsia="Times New Roman" w:hAnsi="Arial" w:cs="Arial"/>
                <w:color w:val="000000"/>
                <w:sz w:val="20"/>
                <w:szCs w:val="20"/>
                <w:lang w:val="es-CO" w:eastAsia="es-CO"/>
              </w:rPr>
              <w:t>ciñéndose</w:t>
            </w:r>
            <w:r w:rsidRPr="00B72CCC">
              <w:rPr>
                <w:rFonts w:ascii="Arial" w:eastAsia="Times New Roman" w:hAnsi="Arial" w:cs="Arial"/>
                <w:color w:val="000000"/>
                <w:sz w:val="20"/>
                <w:szCs w:val="20"/>
                <w:lang w:val="es-CO" w:eastAsia="es-CO"/>
              </w:rPr>
              <w:t xml:space="preserve"> al régimen tarifario aplicable a los servicios públicos domiciliarios, adoptó la metodología establecida por la CRA mediante las Resoluciones CRA 688 de 2014 y CRA 735 de 2015, la cual determina el valor de las tarifas referencia por la prestación de los servicios de acueducto y el valor de las tarifas referencia por la prestación de los servicios de acueducto y alcantarillado. Para el cálculo del Costo Medio de Administración y el cálculo del Costos Medio de Operación, los costos eficientes estándar por suscriptor mensual tomados por la empresa, en aplicación de las formulas </w:t>
            </w:r>
            <w:r w:rsidR="001A1254" w:rsidRPr="00B72CCC">
              <w:rPr>
                <w:rFonts w:ascii="Arial" w:eastAsia="Times New Roman" w:hAnsi="Arial" w:cs="Arial"/>
                <w:color w:val="000000"/>
                <w:sz w:val="20"/>
                <w:szCs w:val="20"/>
                <w:lang w:val="es-CO" w:eastAsia="es-CO"/>
              </w:rPr>
              <w:t>contenidas</w:t>
            </w:r>
            <w:r w:rsidRPr="00B72CCC">
              <w:rPr>
                <w:rFonts w:ascii="Arial" w:eastAsia="Times New Roman" w:hAnsi="Arial" w:cs="Arial"/>
                <w:color w:val="000000"/>
                <w:sz w:val="20"/>
                <w:szCs w:val="20"/>
                <w:lang w:val="es-CO" w:eastAsia="es-CO"/>
              </w:rPr>
              <w:t xml:space="preserve"> en la normatividad regulatoria, y de </w:t>
            </w:r>
            <w:r w:rsidR="001A1254" w:rsidRPr="00B72CCC">
              <w:rPr>
                <w:rFonts w:ascii="Arial" w:eastAsia="Times New Roman" w:hAnsi="Arial" w:cs="Arial"/>
                <w:color w:val="000000"/>
                <w:sz w:val="20"/>
                <w:szCs w:val="20"/>
                <w:lang w:val="es-CO" w:eastAsia="es-CO"/>
              </w:rPr>
              <w:t>acuerdo</w:t>
            </w:r>
            <w:r w:rsidRPr="00B72CCC">
              <w:rPr>
                <w:rFonts w:ascii="Arial" w:eastAsia="Times New Roman" w:hAnsi="Arial" w:cs="Arial"/>
                <w:color w:val="000000"/>
                <w:sz w:val="20"/>
                <w:szCs w:val="20"/>
                <w:lang w:val="es-CO" w:eastAsia="es-CO"/>
              </w:rPr>
              <w:t xml:space="preserve"> con los datos históricos:</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 xml:space="preserve">Por lo anterior se evidencia que los costos Administrativos y Operativos comparables eficientes estándar de la empresa IBAL S.A. E.S.P - OFICIAL, se encuentran dentro del rango del valor de las variables del modelo eficiente estándar por suscriptor mensual para cada servicio público domiciliario, resultante de la aplicación del modelo de eficiencia comparativa con la </w:t>
            </w:r>
            <w:r w:rsidR="001A1254" w:rsidRPr="00B72CCC">
              <w:rPr>
                <w:rFonts w:ascii="Arial" w:eastAsia="Times New Roman" w:hAnsi="Arial" w:cs="Arial"/>
                <w:color w:val="000000"/>
                <w:sz w:val="20"/>
                <w:szCs w:val="20"/>
                <w:lang w:val="es-CO" w:eastAsia="es-CO"/>
              </w:rPr>
              <w:t>metodología</w:t>
            </w:r>
            <w:r w:rsidRPr="00B72CCC">
              <w:rPr>
                <w:rFonts w:ascii="Arial" w:eastAsia="Times New Roman" w:hAnsi="Arial" w:cs="Arial"/>
                <w:color w:val="000000"/>
                <w:sz w:val="20"/>
                <w:szCs w:val="20"/>
                <w:lang w:val="es-CO" w:eastAsia="es-CO"/>
              </w:rPr>
              <w:t xml:space="preserve"> de Análisis Envolvente de datos DEA de las personas prestadoras que hacen parte del grupo básico que enuncia la Resolución CRA 791 de 2017, lo que indica que en la aplicación de los costos eficientes estándar para el CMA y el CMO estaríamos aplicando una TARIFA IRRACIONAL, por encontrarse obligada la empresa a utilizar unos costos administrativos y operativos por cada servicio, que no corresponden a la aplicación de la metodología tarifaria y que incluso algunos costos eficientes estándar aginados a las personas prestadoras que no pertenecen al grupo base son inferiores a los utilizados por la empresa IBAL S.A. ESP OFICIAL, generando un impacto negativo en los ingresos proyectados, afectando el principio de Suficiencia Financiera, consagrado en el numeral 87.4 del artículo 87 de la Ley 142 de 1994. </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 xml:space="preserve">En nuestro criterio y de acuerdo con las anteriores </w:t>
            </w:r>
            <w:r w:rsidR="001A1254" w:rsidRPr="00B72CCC">
              <w:rPr>
                <w:rFonts w:ascii="Arial" w:eastAsia="Times New Roman" w:hAnsi="Arial" w:cs="Arial"/>
                <w:color w:val="000000"/>
                <w:sz w:val="20"/>
                <w:szCs w:val="20"/>
                <w:lang w:val="es-CO" w:eastAsia="es-CO"/>
              </w:rPr>
              <w:t>consideraciones</w:t>
            </w:r>
            <w:r w:rsidRPr="00B72CCC">
              <w:rPr>
                <w:rFonts w:ascii="Arial" w:eastAsia="Times New Roman" w:hAnsi="Arial" w:cs="Arial"/>
                <w:color w:val="000000"/>
                <w:sz w:val="20"/>
                <w:szCs w:val="20"/>
                <w:lang w:val="es-CO" w:eastAsia="es-CO"/>
              </w:rPr>
              <w:t xml:space="preserve">, las cuales evidencian que la Empresa IBAL SA ESP OFICIAL actuó de manera ajustada a las disposiciones regulatorias y aplicó de manera correcta la metodología tarifaria, en aras de obtener una tarifa eficiente, no es razonable que por un error de digitación en la información reportada al SUI, y que es claro que se trató de un error humano y meramente formal, se vea afectada la realidad de la empresa al generar una situación negativa, que desmejora los costos eficientes de la prestadora. </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r>
          </w:p>
        </w:tc>
      </w:tr>
      <w:tr w:rsidR="00A5241F" w:rsidRPr="00B72CCC" w14:paraId="59B6F32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08C4A3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1107222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C65892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A9B4B6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2A9852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667570F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4C47A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F66D13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Impactos en las empresas que no entran en la muestra</w:t>
            </w:r>
          </w:p>
        </w:tc>
      </w:tr>
      <w:tr w:rsidR="00A5241F" w:rsidRPr="00B72CCC" w14:paraId="2A78784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27AA35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5D93FF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4E82A98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ABB5A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865A548" w14:textId="48B1D9BF"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6829E2">
              <w:rPr>
                <w:rFonts w:ascii="Arial" w:eastAsia="Times New Roman" w:hAnsi="Arial" w:cs="Arial"/>
                <w:color w:val="000000"/>
                <w:sz w:val="20"/>
                <w:szCs w:val="20"/>
                <w:lang w:val="es-CO" w:eastAsia="es-CO"/>
              </w:rPr>
              <w:t>RESPUESTA No.9</w:t>
            </w:r>
          </w:p>
        </w:tc>
      </w:tr>
      <w:tr w:rsidR="00A5241F" w:rsidRPr="00B72CCC" w14:paraId="2CFC342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AE68E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EFA222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93</w:t>
            </w:r>
          </w:p>
        </w:tc>
      </w:tr>
      <w:tr w:rsidR="00A5241F" w:rsidRPr="00B72CCC" w14:paraId="48536F7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2690EF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370C57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20173210059242</w:t>
            </w:r>
          </w:p>
        </w:tc>
      </w:tr>
      <w:tr w:rsidR="00A5241F" w:rsidRPr="00B72CCC" w14:paraId="4914C15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3E82C5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CF9754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18327EE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4A085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Remitente</w:t>
            </w:r>
          </w:p>
        </w:tc>
        <w:tc>
          <w:tcPr>
            <w:tcW w:w="0" w:type="auto"/>
            <w:tcBorders>
              <w:top w:val="nil"/>
              <w:left w:val="nil"/>
              <w:bottom w:val="single" w:sz="4" w:space="0" w:color="auto"/>
              <w:right w:val="single" w:sz="4" w:space="0" w:color="auto"/>
            </w:tcBorders>
            <w:shd w:val="clear" w:color="auto" w:fill="auto"/>
            <w:vAlign w:val="bottom"/>
            <w:hideMark/>
          </w:tcPr>
          <w:p w14:paraId="7F2DB98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Sociedad de Acueducto, Alcantarillado y Aseo de Barranquilla S.A.  E.S.P.</w:t>
            </w:r>
          </w:p>
        </w:tc>
      </w:tr>
      <w:tr w:rsidR="00A5241F" w:rsidRPr="00B72CCC" w14:paraId="542C5B8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43B334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E2A9F4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4D7E02B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4BF240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73D5006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39973AA" w14:textId="77777777" w:rsidTr="003302C2">
        <w:trPr>
          <w:trHeight w:val="176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3A9AB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414E4AD4" w14:textId="2A0AA14B"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Sobre la conceptualización del modelo DEA:  El anexo de la Resolución CRA 287 de 2004, establece la relación la relación e incidencia de cada una de las variables, bien sean insumos o productos, </w:t>
            </w:r>
            <w:r w:rsidR="003302C2" w:rsidRPr="00B72CCC">
              <w:rPr>
                <w:rFonts w:ascii="Arial" w:eastAsia="Times New Roman" w:hAnsi="Arial" w:cs="Arial"/>
                <w:color w:val="000000"/>
                <w:sz w:val="20"/>
                <w:szCs w:val="20"/>
                <w:lang w:val="es-CO" w:eastAsia="es-CO"/>
              </w:rPr>
              <w:t>incluida</w:t>
            </w:r>
            <w:r w:rsidRPr="00B72CCC">
              <w:rPr>
                <w:rFonts w:ascii="Arial" w:eastAsia="Times New Roman" w:hAnsi="Arial" w:cs="Arial"/>
                <w:color w:val="000000"/>
                <w:sz w:val="20"/>
                <w:szCs w:val="20"/>
                <w:lang w:val="es-CO" w:eastAsia="es-CO"/>
              </w:rPr>
              <w:t xml:space="preserve"> para la corrida del modelo DEA; esto es, si la relación es directa o inversa con la variable a minimizar, o si es controlable o no. Sin </w:t>
            </w:r>
            <w:r w:rsidR="003302C2" w:rsidRPr="00B72CCC">
              <w:rPr>
                <w:rFonts w:ascii="Arial" w:eastAsia="Times New Roman" w:hAnsi="Arial" w:cs="Arial"/>
                <w:color w:val="000000"/>
                <w:sz w:val="20"/>
                <w:szCs w:val="20"/>
                <w:lang w:val="es-CO" w:eastAsia="es-CO"/>
              </w:rPr>
              <w:t>embargo</w:t>
            </w:r>
            <w:r w:rsidRPr="00B72CCC">
              <w:rPr>
                <w:rFonts w:ascii="Arial" w:eastAsia="Times New Roman" w:hAnsi="Arial" w:cs="Arial"/>
                <w:color w:val="000000"/>
                <w:sz w:val="20"/>
                <w:szCs w:val="20"/>
                <w:lang w:val="es-CO" w:eastAsia="es-CO"/>
              </w:rPr>
              <w:t>, dichas consideraciones no se tuvieron en cuenta en la corrida del modelo que realizó su entidad, y cuyos resultados se reflejaron en la Resolución CRA 791 de 2017.</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 xml:space="preserve">Solicitamos respetuosamente que la Comisión corra nuevamente el modelo, teniendo en cuenta las consideraciones sobre las variables de insumos y productos, las cuales son propias del sector de agua potable y saneamiento </w:t>
            </w:r>
            <w:r w:rsidR="003302C2" w:rsidRPr="00B72CCC">
              <w:rPr>
                <w:rFonts w:ascii="Arial" w:eastAsia="Times New Roman" w:hAnsi="Arial" w:cs="Arial"/>
                <w:color w:val="000000"/>
                <w:sz w:val="20"/>
                <w:szCs w:val="20"/>
                <w:lang w:val="es-CO" w:eastAsia="es-CO"/>
              </w:rPr>
              <w:t>básico</w:t>
            </w:r>
            <w:r w:rsidRPr="00B72CCC">
              <w:rPr>
                <w:rFonts w:ascii="Arial" w:eastAsia="Times New Roman" w:hAnsi="Arial" w:cs="Arial"/>
                <w:color w:val="000000"/>
                <w:sz w:val="20"/>
                <w:szCs w:val="20"/>
                <w:lang w:val="es-CO" w:eastAsia="es-CO"/>
              </w:rPr>
              <w:t xml:space="preserve"> en el cual se aplicarán los puntajes de eficiencia comparativa</w:t>
            </w:r>
          </w:p>
        </w:tc>
      </w:tr>
      <w:tr w:rsidR="00A5241F" w:rsidRPr="00B72CCC" w14:paraId="38E773E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0F739F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7789B3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1347213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257615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0D3DB4A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24400DC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AD0F7B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DBC1A0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Orientación del problema</w:t>
            </w:r>
          </w:p>
        </w:tc>
      </w:tr>
      <w:tr w:rsidR="00A5241F" w:rsidRPr="00B72CCC" w14:paraId="29EF006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85DA02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AD6B51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2BF97FC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0EFA50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149B7C3A" w14:textId="01AA7315"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3302C2">
              <w:rPr>
                <w:rFonts w:ascii="Arial" w:eastAsia="Times New Roman" w:hAnsi="Arial" w:cs="Arial"/>
                <w:color w:val="000000"/>
                <w:sz w:val="20"/>
                <w:szCs w:val="20"/>
                <w:lang w:val="es-CO" w:eastAsia="es-CO"/>
              </w:rPr>
              <w:t>RESPUESTA No.3</w:t>
            </w:r>
          </w:p>
        </w:tc>
      </w:tr>
      <w:tr w:rsidR="00A5241F" w:rsidRPr="00B72CCC" w14:paraId="02E1678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DA7024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B0F3E9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94</w:t>
            </w:r>
          </w:p>
        </w:tc>
      </w:tr>
      <w:tr w:rsidR="00A5241F" w:rsidRPr="00B72CCC" w14:paraId="44D13C4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4C4CE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62F04A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20173210059242</w:t>
            </w:r>
          </w:p>
        </w:tc>
      </w:tr>
      <w:tr w:rsidR="00A5241F" w:rsidRPr="00B72CCC" w14:paraId="1090BBC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A02349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1A7E1D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2569A74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B8132C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686334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Sociedad de Acueducto, Alcantarillado y Aseo de Barranquilla S.A.  E.S.P.</w:t>
            </w:r>
          </w:p>
        </w:tc>
      </w:tr>
      <w:tr w:rsidR="00A5241F" w:rsidRPr="00B72CCC" w14:paraId="40F5861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142EDA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5FA4664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681BDB9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627073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24B918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C4B8F6B" w14:textId="77777777" w:rsidTr="00EB1E5C">
        <w:trPr>
          <w:trHeight w:val="916"/>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FC4E68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FCBE637" w14:textId="6DD19D86"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Sobre la incorporación de los resultados del modelo DEA al estudio de costos:  En los artículos 6 y 10 de la resolución del asunto, la Comisión indica la metodología para incorporar los resultados del modelo DEA en el estudio de costos de cada una de las empresas. Específicamente, establece la metodología para incluir el CAU*ac CAU*al COU*ac y COU*al. Debido a lo anterior, y a que la metodología establecida por la Comisión varía la proyección de los costos administrativos y costos operativos eficientes considerada para el cálculo de tarifas, lo indicado en los artículos mencionados implica un cambio en la metodología tarifaria. Por lo anterior, cambian los valores a cobrar a partir del año 2 de aplicación de la Resolución CRA 688 de 2014. Debido a esto, es importante que la Comisión valide si esta metodología viola el principio de estabilidad tarifaria de la Ley 142 de 1994. </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 xml:space="preserve">Sobre este </w:t>
            </w:r>
            <w:r w:rsidR="00EB1E5C" w:rsidRPr="00B72CCC">
              <w:rPr>
                <w:rFonts w:ascii="Arial" w:eastAsia="Times New Roman" w:hAnsi="Arial" w:cs="Arial"/>
                <w:color w:val="000000"/>
                <w:sz w:val="20"/>
                <w:szCs w:val="20"/>
                <w:lang w:val="es-CO" w:eastAsia="es-CO"/>
              </w:rPr>
              <w:t>punto</w:t>
            </w:r>
            <w:r w:rsidRPr="00B72CCC">
              <w:rPr>
                <w:rFonts w:ascii="Arial" w:eastAsia="Times New Roman" w:hAnsi="Arial" w:cs="Arial"/>
                <w:color w:val="000000"/>
                <w:sz w:val="20"/>
                <w:szCs w:val="20"/>
                <w:lang w:val="es-CO" w:eastAsia="es-CO"/>
              </w:rPr>
              <w:t xml:space="preserve">, resulta pertinente informar a la SSPD sobre los cambios que la metodología planteada por su entidad tendrá sobre el estudio de costos </w:t>
            </w:r>
            <w:r w:rsidR="00EB1E5C" w:rsidRPr="00B72CCC">
              <w:rPr>
                <w:rFonts w:ascii="Arial" w:eastAsia="Times New Roman" w:hAnsi="Arial" w:cs="Arial"/>
                <w:color w:val="000000"/>
                <w:sz w:val="20"/>
                <w:szCs w:val="20"/>
                <w:lang w:val="es-CO" w:eastAsia="es-CO"/>
              </w:rPr>
              <w:t>inicial</w:t>
            </w:r>
            <w:r w:rsidRPr="00B72CCC">
              <w:rPr>
                <w:rFonts w:ascii="Arial" w:eastAsia="Times New Roman" w:hAnsi="Arial" w:cs="Arial"/>
                <w:color w:val="000000"/>
                <w:sz w:val="20"/>
                <w:szCs w:val="20"/>
                <w:lang w:val="es-CO" w:eastAsia="es-CO"/>
              </w:rPr>
              <w:t xml:space="preserve"> aprobado por la entidad tarifaria local de la empresa, teniendo en cuenta que la proyección de CAU  y COU no corresponderá con la calculada inicialmente en el estudio de costos. </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 xml:space="preserve">Además, es de total importancia comunicarles la imposibilidad de Triple A para aplicar de acuerdo con la metodología establecida en los artículos mencionados, el CAU*ac, CAU*al, COU*ac y COU*al resultantes de la corrida del modelo DEA. Lo anterior, debido a que por la existencia de un mercado regional aprobado por su entidad mediante Resolución CRA 701 de 2014, el </w:t>
            </w:r>
            <w:r w:rsidR="00EB1E5C" w:rsidRPr="00B72CCC">
              <w:rPr>
                <w:rFonts w:ascii="Arial" w:eastAsia="Times New Roman" w:hAnsi="Arial" w:cs="Arial"/>
                <w:color w:val="000000"/>
                <w:sz w:val="20"/>
                <w:szCs w:val="20"/>
                <w:lang w:val="es-CO" w:eastAsia="es-CO"/>
              </w:rPr>
              <w:t>estudio</w:t>
            </w:r>
            <w:r w:rsidRPr="00B72CCC">
              <w:rPr>
                <w:rFonts w:ascii="Arial" w:eastAsia="Times New Roman" w:hAnsi="Arial" w:cs="Arial"/>
                <w:color w:val="000000"/>
                <w:sz w:val="20"/>
                <w:szCs w:val="20"/>
                <w:lang w:val="es-CO" w:eastAsia="es-CO"/>
              </w:rPr>
              <w:t xml:space="preserve"> de costos es unificado para todas las APS que lo integran, mientras que el puntaje DEA fue calculado únicamente para la APS con el mayor número de suscriptores, es decir el Distrito de Barranquilla. Por </w:t>
            </w:r>
            <w:r w:rsidR="00EB1E5C" w:rsidRPr="00B72CCC">
              <w:rPr>
                <w:rFonts w:ascii="Arial" w:eastAsia="Times New Roman" w:hAnsi="Arial" w:cs="Arial"/>
                <w:color w:val="000000"/>
                <w:sz w:val="20"/>
                <w:szCs w:val="20"/>
                <w:lang w:val="es-CO" w:eastAsia="es-CO"/>
              </w:rPr>
              <w:t>tanto,</w:t>
            </w:r>
            <w:r w:rsidRPr="00B72CCC">
              <w:rPr>
                <w:rFonts w:ascii="Arial" w:eastAsia="Times New Roman" w:hAnsi="Arial" w:cs="Arial"/>
                <w:color w:val="000000"/>
                <w:sz w:val="20"/>
                <w:szCs w:val="20"/>
                <w:lang w:val="es-CO" w:eastAsia="es-CO"/>
              </w:rPr>
              <w:t xml:space="preserve"> se podría </w:t>
            </w:r>
            <w:r w:rsidRPr="00B72CCC">
              <w:rPr>
                <w:rFonts w:ascii="Arial" w:eastAsia="Times New Roman" w:hAnsi="Arial" w:cs="Arial"/>
                <w:color w:val="000000"/>
                <w:sz w:val="20"/>
                <w:szCs w:val="20"/>
                <w:lang w:val="es-CO" w:eastAsia="es-CO"/>
              </w:rPr>
              <w:lastRenderedPageBreak/>
              <w:t xml:space="preserve">aplicar la metodología que indica su entidad si el estudio de costos fuera únicamente del Distrito, pero como es regional, no es posible hacerlo. Debido a lo anterior, es necesario que en la resolución definitiva se indique una metodología de incorporación de los </w:t>
            </w:r>
            <w:r w:rsidR="00EB1E5C" w:rsidRPr="00B72CCC">
              <w:rPr>
                <w:rFonts w:ascii="Arial" w:eastAsia="Times New Roman" w:hAnsi="Arial" w:cs="Arial"/>
                <w:color w:val="000000"/>
                <w:sz w:val="20"/>
                <w:szCs w:val="20"/>
                <w:lang w:val="es-CO" w:eastAsia="es-CO"/>
              </w:rPr>
              <w:t>resultados</w:t>
            </w:r>
            <w:r w:rsidRPr="00B72CCC">
              <w:rPr>
                <w:rFonts w:ascii="Arial" w:eastAsia="Times New Roman" w:hAnsi="Arial" w:cs="Arial"/>
                <w:color w:val="000000"/>
                <w:sz w:val="20"/>
                <w:szCs w:val="20"/>
                <w:lang w:val="es-CO" w:eastAsia="es-CO"/>
              </w:rPr>
              <w:t xml:space="preserve"> del modelo DEA que sea aplicable en nuestro caso. </w:t>
            </w:r>
          </w:p>
        </w:tc>
      </w:tr>
      <w:tr w:rsidR="00A5241F" w:rsidRPr="00B72CCC" w14:paraId="2727DC1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9C9C1A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Escrita/Presencial</w:t>
            </w:r>
          </w:p>
        </w:tc>
        <w:tc>
          <w:tcPr>
            <w:tcW w:w="0" w:type="auto"/>
            <w:tcBorders>
              <w:top w:val="nil"/>
              <w:left w:val="nil"/>
              <w:bottom w:val="single" w:sz="4" w:space="0" w:color="auto"/>
              <w:right w:val="single" w:sz="4" w:space="0" w:color="auto"/>
            </w:tcBorders>
            <w:shd w:val="clear" w:color="auto" w:fill="auto"/>
            <w:vAlign w:val="bottom"/>
            <w:hideMark/>
          </w:tcPr>
          <w:p w14:paraId="6C161B7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1114D57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F32A1E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4796B4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FB76C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74DEDD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3A9AF5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Ajuste a la fórmula tarifaria</w:t>
            </w:r>
          </w:p>
        </w:tc>
      </w:tr>
      <w:tr w:rsidR="00A5241F" w:rsidRPr="00B72CCC" w14:paraId="141C9D6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ADC6F4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5A633C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0A1DD62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8D0336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6515B06" w14:textId="4C153959"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EB1E5C">
              <w:rPr>
                <w:rFonts w:ascii="Arial" w:eastAsia="Times New Roman" w:hAnsi="Arial" w:cs="Arial"/>
                <w:color w:val="000000"/>
                <w:sz w:val="20"/>
                <w:szCs w:val="20"/>
                <w:lang w:val="es-CO" w:eastAsia="es-CO"/>
              </w:rPr>
              <w:t>RESPUESTA No.8</w:t>
            </w:r>
          </w:p>
        </w:tc>
      </w:tr>
      <w:tr w:rsidR="00A5241F" w:rsidRPr="00B72CCC" w14:paraId="68EEF1F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ACD83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2EF146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95</w:t>
            </w:r>
          </w:p>
        </w:tc>
      </w:tr>
      <w:tr w:rsidR="00A5241F" w:rsidRPr="00B72CCC" w14:paraId="173C9E6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C540D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77551CB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20173210059242</w:t>
            </w:r>
          </w:p>
        </w:tc>
      </w:tr>
      <w:tr w:rsidR="00A5241F" w:rsidRPr="00B72CCC" w14:paraId="661F434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B95DF8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0FAC755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05BFFCD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64FA7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4E9BB3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Sociedad de Acueducto, Alcantarillado y Aseo de Barranquilla S.A.  E.S.P.</w:t>
            </w:r>
          </w:p>
        </w:tc>
      </w:tr>
      <w:tr w:rsidR="00A5241F" w:rsidRPr="00B72CCC" w14:paraId="38B1C2B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154292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4BBEE4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32707E3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887A1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CBFBAD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A431DFD" w14:textId="77777777" w:rsidTr="00561231">
        <w:trPr>
          <w:trHeight w:val="246"/>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A6B3D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64EDB6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Como solicitud adicional, le pedimos a su entidad que publique la memoria de cálculo de los puntajes DEA.</w:t>
            </w:r>
          </w:p>
        </w:tc>
      </w:tr>
      <w:tr w:rsidR="00A5241F" w:rsidRPr="00B72CCC" w14:paraId="59C72CD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BE22F2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3F37C68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2F0C6B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90EFB4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5EC9E8B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6F888E0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A0409F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7FFE88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Publicación de puntajes y del detalle de los cálculos</w:t>
            </w:r>
          </w:p>
        </w:tc>
      </w:tr>
      <w:tr w:rsidR="00A5241F" w:rsidRPr="00B72CCC" w14:paraId="2640E0C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4BDC6E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5F85ACB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2773CE6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1FBC70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30FFD43" w14:textId="0FCE235A"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561231">
              <w:rPr>
                <w:rFonts w:ascii="Arial" w:eastAsia="Times New Roman" w:hAnsi="Arial" w:cs="Arial"/>
                <w:color w:val="000000"/>
                <w:sz w:val="20"/>
                <w:szCs w:val="20"/>
                <w:lang w:val="es-CO" w:eastAsia="es-CO"/>
              </w:rPr>
              <w:t>RESPUESTA No.10</w:t>
            </w:r>
          </w:p>
        </w:tc>
      </w:tr>
      <w:tr w:rsidR="00A5241F" w:rsidRPr="00B72CCC" w14:paraId="0D6B30B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0C12D5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2DF43A3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96</w:t>
            </w:r>
          </w:p>
        </w:tc>
      </w:tr>
      <w:tr w:rsidR="00A5241F" w:rsidRPr="00B72CCC" w14:paraId="0F09743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439C92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7E6DF1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20173210059242</w:t>
            </w:r>
          </w:p>
        </w:tc>
      </w:tr>
      <w:tr w:rsidR="00A5241F" w:rsidRPr="00B72CCC" w14:paraId="62B39BD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BC02F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FC9FB1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366580A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F6D8CA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48BA83F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Sociedad de Acueducto, Alcantarillado y Aseo de Barranquilla S.A.  E.S.P.</w:t>
            </w:r>
          </w:p>
        </w:tc>
      </w:tr>
      <w:tr w:rsidR="00A5241F" w:rsidRPr="00B72CCC" w14:paraId="288F03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F04A1E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1FC375E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40F183C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17C6A0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CFCFFE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700A08D0" w14:textId="77777777" w:rsidTr="00564245">
        <w:trPr>
          <w:trHeight w:val="148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C593AB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562F4F8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En los anexos de la norma del asunto, publican el total de costos administrativos y costos operativos tenido en cuenta para la modelación del puntaje DEA. Comparando la información publicada para Triple A, frente a lo enviado en archivo Excel a la Superintendencia de Servicios Públicos Domiciliarios - SSPD radicado con número 20175290093212 del 17-02-2017, evidencia que los datos no coinciden. (Ver tabla página 2)</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Debido a que en las tablas publicadas en la Resolución CRA 791 de 2017 indican que los costos están expresados a pesos de diciembre de 2014, se indexaron los valores de 2013 a esa fecha, con el fin de verificar si esas son las diferencias que están presentados. A continuación se muestra el comparativo, con todos los valores a pesos de diciembre de 2014. (Ver tabla página 3)</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lastRenderedPageBreak/>
              <w:br/>
              <w:t xml:space="preserve">Si bien las diferencias disminuyen, aún los valores no coinciden exactamente. Por tanto le solicitamos a su entidad aclarar la razón de lo anterior, ya que en el formato mencionado solicitado por la SSPD, explícitamente se indicó el valor de cada una de las cuentas, así como la justificación de las inclusiones y exclusiones efectuadas. Por tanto, no debería presentarse ninguna variación entre lo que publique su entidad en la resolución del DEA y los valores enviados por la empresa. </w:t>
            </w:r>
          </w:p>
        </w:tc>
      </w:tr>
      <w:tr w:rsidR="00A5241F" w:rsidRPr="00B72CCC" w14:paraId="6FAACDF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01048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E18922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F03035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6AC254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51E85E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7380311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1A340E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EFE794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Revisión del valor de las variables del modelo</w:t>
            </w:r>
          </w:p>
        </w:tc>
      </w:tr>
      <w:tr w:rsidR="00A5241F" w:rsidRPr="00B72CCC" w14:paraId="7C836C3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E879C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C949E2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4EA1C29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8DA9EF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610693A" w14:textId="3085966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420B0">
              <w:rPr>
                <w:rFonts w:ascii="Arial" w:eastAsia="Times New Roman" w:hAnsi="Arial" w:cs="Arial"/>
                <w:color w:val="000000"/>
                <w:sz w:val="20"/>
                <w:szCs w:val="20"/>
                <w:lang w:val="es-CO" w:eastAsia="es-CO"/>
              </w:rPr>
              <w:t>RESPUESTA No.5</w:t>
            </w:r>
          </w:p>
        </w:tc>
      </w:tr>
      <w:tr w:rsidR="00A5241F" w:rsidRPr="00B72CCC" w14:paraId="4F08B5A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B20F1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FFAAE9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97</w:t>
            </w:r>
          </w:p>
        </w:tc>
      </w:tr>
      <w:tr w:rsidR="00A5241F" w:rsidRPr="00B72CCC" w14:paraId="6E0CD65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C2D25E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B12DF4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20173210059242</w:t>
            </w:r>
          </w:p>
        </w:tc>
      </w:tr>
      <w:tr w:rsidR="00A5241F" w:rsidRPr="00B72CCC" w14:paraId="1B7C768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D88049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6624592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1501E7B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DCA2B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7B5C0A3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Sociedad de Acueducto, Alcantarillado y Aseo de Barranquilla S.A.  E.S.P.</w:t>
            </w:r>
          </w:p>
        </w:tc>
      </w:tr>
      <w:tr w:rsidR="00A5241F" w:rsidRPr="00B72CCC" w14:paraId="387D2DA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22D5E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475063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478DFC1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54D0AD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7A5327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5394D7A5" w14:textId="77777777" w:rsidTr="00E014C0">
        <w:trPr>
          <w:trHeight w:val="2617"/>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D0BBCD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65770F2" w14:textId="54BFFCFF" w:rsidR="00A5241F" w:rsidRPr="00B72CCC" w:rsidRDefault="00A5241F" w:rsidP="00E014C0">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Sobre la clasificación interna de costos y gastos de las empresas:  Debido a que el modelo DEA tiene como objetivo comparar los niveles de eficiencia de las empresas, los criterios para esta comparación deben estar homogenizados. Es decir, debe haber cierto grado de seguridad de que las variables que están comparando, son efectivamente comparables, y esto se da únicamente cuando las empresas tienen en cuenta los mimos criterios para el cálculo de la información. </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 xml:space="preserve">Por tanto, nuestra preocupación radica en la alta </w:t>
            </w:r>
            <w:r w:rsidR="00E014C0" w:rsidRPr="00B72CCC">
              <w:rPr>
                <w:rFonts w:ascii="Arial" w:eastAsia="Times New Roman" w:hAnsi="Arial" w:cs="Arial"/>
                <w:color w:val="000000"/>
                <w:sz w:val="20"/>
                <w:szCs w:val="20"/>
                <w:lang w:val="es-CO" w:eastAsia="es-CO"/>
              </w:rPr>
              <w:t>dependencia</w:t>
            </w:r>
            <w:r w:rsidRPr="00B72CCC">
              <w:rPr>
                <w:rFonts w:ascii="Arial" w:eastAsia="Times New Roman" w:hAnsi="Arial" w:cs="Arial"/>
                <w:color w:val="000000"/>
                <w:sz w:val="20"/>
                <w:szCs w:val="20"/>
                <w:lang w:val="es-CO" w:eastAsia="es-CO"/>
              </w:rPr>
              <w:t xml:space="preserve"> que tiene el modelo en la clasificación interna de costos y gastos de las empresas, ya que por ejemplo, en los costos asociados a la actividad comercial que deben ser trasladados de la cuenta 7 a la cuenta 5 para el cálculo del CA y el CO, el criterio puede diferir de una empresa a otra dependiendo de sus criterios particularidades. Debido a lo anterior, consideramos pertinente que su entidad haga una revisión con cada una de las empresas incluida</w:t>
            </w:r>
            <w:r w:rsidR="00E014C0">
              <w:rPr>
                <w:rFonts w:ascii="Arial" w:eastAsia="Times New Roman" w:hAnsi="Arial" w:cs="Arial"/>
                <w:color w:val="000000"/>
                <w:sz w:val="20"/>
                <w:szCs w:val="20"/>
                <w:lang w:val="es-CO" w:eastAsia="es-CO"/>
              </w:rPr>
              <w:t>s</w:t>
            </w:r>
            <w:r w:rsidRPr="00B72CCC">
              <w:rPr>
                <w:rFonts w:ascii="Arial" w:eastAsia="Times New Roman" w:hAnsi="Arial" w:cs="Arial"/>
                <w:color w:val="000000"/>
                <w:sz w:val="20"/>
                <w:szCs w:val="20"/>
                <w:lang w:val="es-CO" w:eastAsia="es-CO"/>
              </w:rPr>
              <w:t xml:space="preserve"> en el modelo, con el de verificar la homogeneidad de los criterios con lo que calcularon sus costos administrativos y operativos comparables. </w:t>
            </w:r>
          </w:p>
        </w:tc>
      </w:tr>
      <w:tr w:rsidR="00A5241F" w:rsidRPr="00B72CCC" w14:paraId="0E40632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21A5B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5DF2FF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480047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727FCF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3420AC5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7651D2A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38C71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033A801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Verificación de las exclusiones e inclusiones que hicieron las empresas</w:t>
            </w:r>
          </w:p>
        </w:tc>
      </w:tr>
      <w:tr w:rsidR="00A5241F" w:rsidRPr="00B72CCC" w14:paraId="0F2E372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0BC6C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2AD6D82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716D3C7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B07238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BEB6ACE" w14:textId="2806F648"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E014C0" w:rsidRPr="00146648">
              <w:rPr>
                <w:rFonts w:ascii="Arial" w:eastAsia="Times New Roman" w:hAnsi="Arial" w:cs="Arial"/>
                <w:color w:val="000000"/>
                <w:sz w:val="20"/>
                <w:szCs w:val="20"/>
                <w:lang w:val="es-CO" w:eastAsia="es-CO"/>
              </w:rPr>
              <w:t>RESPUESTA No.1</w:t>
            </w:r>
            <w:r w:rsidR="00E014C0">
              <w:rPr>
                <w:rFonts w:ascii="Arial" w:eastAsia="Times New Roman" w:hAnsi="Arial" w:cs="Arial"/>
                <w:color w:val="000000"/>
                <w:sz w:val="20"/>
                <w:szCs w:val="20"/>
                <w:lang w:val="es-CO" w:eastAsia="es-CO"/>
              </w:rPr>
              <w:t>1</w:t>
            </w:r>
          </w:p>
        </w:tc>
      </w:tr>
      <w:tr w:rsidR="00A5241F" w:rsidRPr="00B72CCC" w14:paraId="2AEACD9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6B5CD6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796453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98</w:t>
            </w:r>
          </w:p>
        </w:tc>
      </w:tr>
      <w:tr w:rsidR="00A5241F" w:rsidRPr="00B72CCC" w14:paraId="6E3F059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CDDD59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3557395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20173210059242</w:t>
            </w:r>
          </w:p>
        </w:tc>
      </w:tr>
      <w:tr w:rsidR="00A5241F" w:rsidRPr="00B72CCC" w14:paraId="6A39F82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2C61C9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0542AED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0E2926A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F1A15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CC64A9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Sociedad de Acueducto, Alcantarillado y Aseo de Barranquilla S.A.  E.S.P.</w:t>
            </w:r>
          </w:p>
        </w:tc>
      </w:tr>
      <w:tr w:rsidR="00A5241F" w:rsidRPr="00B72CCC" w14:paraId="7905414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BBADF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4A0D3DB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21CE1BB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9A77DD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994856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61A2A86A" w14:textId="77777777" w:rsidTr="001A1254">
        <w:trPr>
          <w:trHeight w:val="1200"/>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B09A21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3B9BC35D" w14:textId="16E01E3C"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Sobre las variables empleadas para el cálculo del modelo DEA:  Como comentario general, se observa que al analizar las variables publicadas para cada una de las empresas </w:t>
            </w:r>
            <w:r w:rsidR="001420B0" w:rsidRPr="00B72CCC">
              <w:rPr>
                <w:rFonts w:ascii="Arial" w:eastAsia="Times New Roman" w:hAnsi="Arial" w:cs="Arial"/>
                <w:color w:val="000000"/>
                <w:sz w:val="20"/>
                <w:szCs w:val="20"/>
                <w:lang w:val="es-CO" w:eastAsia="es-CO"/>
              </w:rPr>
              <w:t>incluida</w:t>
            </w:r>
            <w:r w:rsidR="001420B0">
              <w:rPr>
                <w:rFonts w:ascii="Arial" w:eastAsia="Times New Roman" w:hAnsi="Arial" w:cs="Arial"/>
                <w:color w:val="000000"/>
                <w:sz w:val="20"/>
                <w:szCs w:val="20"/>
                <w:lang w:val="es-CO" w:eastAsia="es-CO"/>
              </w:rPr>
              <w:t>s</w:t>
            </w:r>
            <w:r w:rsidRPr="00B72CCC">
              <w:rPr>
                <w:rFonts w:ascii="Arial" w:eastAsia="Times New Roman" w:hAnsi="Arial" w:cs="Arial"/>
                <w:color w:val="000000"/>
                <w:sz w:val="20"/>
                <w:szCs w:val="20"/>
                <w:lang w:val="es-CO" w:eastAsia="es-CO"/>
              </w:rPr>
              <w:t xml:space="preserve"> en el cálculo del modelo DEA, salta a la vista que una de estas tiene un mayor número de suscriptores con micromedición en contaste con los Suscriptores Totales de Acueducto. Debido a que lo </w:t>
            </w:r>
            <w:r w:rsidR="001420B0" w:rsidRPr="00B72CCC">
              <w:rPr>
                <w:rFonts w:ascii="Arial" w:eastAsia="Times New Roman" w:hAnsi="Arial" w:cs="Arial"/>
                <w:color w:val="000000"/>
                <w:sz w:val="20"/>
                <w:szCs w:val="20"/>
                <w:lang w:val="es-CO" w:eastAsia="es-CO"/>
              </w:rPr>
              <w:t>anterior</w:t>
            </w:r>
            <w:r w:rsidRPr="00B72CCC">
              <w:rPr>
                <w:rFonts w:ascii="Arial" w:eastAsia="Times New Roman" w:hAnsi="Arial" w:cs="Arial"/>
                <w:color w:val="000000"/>
                <w:sz w:val="20"/>
                <w:szCs w:val="20"/>
                <w:lang w:val="es-CO" w:eastAsia="es-CO"/>
              </w:rPr>
              <w:t xml:space="preserve"> no debería presentarse, sugerimos a su entidad hacer las revisiones y verificaciones correspondientes. </w:t>
            </w:r>
          </w:p>
        </w:tc>
      </w:tr>
      <w:tr w:rsidR="00A5241F" w:rsidRPr="00B72CCC" w14:paraId="06B7F3D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823DE5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5315CF2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4AC4C7E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A114FB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652B576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7A10D45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A36FA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2A36240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Revisión del valor de las variables del modelo</w:t>
            </w:r>
          </w:p>
        </w:tc>
      </w:tr>
      <w:tr w:rsidR="00A5241F" w:rsidRPr="00B72CCC" w14:paraId="677B485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2AE14F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B675D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6335CC5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927AE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3181FF8F" w14:textId="206F0176"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420B0">
              <w:rPr>
                <w:rFonts w:ascii="Arial" w:eastAsia="Times New Roman" w:hAnsi="Arial" w:cs="Arial"/>
                <w:color w:val="000000"/>
                <w:sz w:val="20"/>
                <w:szCs w:val="20"/>
                <w:lang w:val="es-CO" w:eastAsia="es-CO"/>
              </w:rPr>
              <w:t>RESPUESTA No.5</w:t>
            </w:r>
          </w:p>
        </w:tc>
      </w:tr>
      <w:tr w:rsidR="00A5241F" w:rsidRPr="00B72CCC" w14:paraId="271F6F3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1EE0D9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448B17D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99</w:t>
            </w:r>
          </w:p>
        </w:tc>
      </w:tr>
      <w:tr w:rsidR="00A5241F" w:rsidRPr="00B72CCC" w14:paraId="6AE4574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BFAB3C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BD08DF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20173210059242</w:t>
            </w:r>
          </w:p>
        </w:tc>
      </w:tr>
      <w:tr w:rsidR="00A5241F" w:rsidRPr="00B72CCC" w14:paraId="6C77600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4F4873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43F36BB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0062003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AC00F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73AE4A3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Sociedad de Acueducto, Alcantarillado y Aseo de Barranquilla S.A.  E.S.P.</w:t>
            </w:r>
          </w:p>
        </w:tc>
      </w:tr>
      <w:tr w:rsidR="00A5241F" w:rsidRPr="00B72CCC" w14:paraId="3BAFDC5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AAE13F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1340E578"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499901D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4A42AA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0906167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D5B0248" w14:textId="77777777" w:rsidTr="001A1254">
        <w:trPr>
          <w:trHeight w:val="3893"/>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DE76AF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01FE8C5A" w14:textId="4853FBD3" w:rsidR="00A5241F" w:rsidRPr="00B72CCC" w:rsidRDefault="00A5241F" w:rsidP="00F81DD3">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Sobre las variables empleadas para el cálculo del modelo DEA:  Ahora bien, sobre las variables de Triple A S.A. E.S.P. empleadas en el modelo de eficiencia comparativa, es de anotar que en el caso de los valores para </w:t>
            </w:r>
            <w:r w:rsidR="00F81DD3" w:rsidRPr="00B72CCC">
              <w:rPr>
                <w:rFonts w:ascii="Arial" w:eastAsia="Times New Roman" w:hAnsi="Arial" w:cs="Arial"/>
                <w:color w:val="000000"/>
                <w:sz w:val="20"/>
                <w:szCs w:val="20"/>
                <w:lang w:val="es-CO" w:eastAsia="es-CO"/>
              </w:rPr>
              <w:t>Suscriptores</w:t>
            </w:r>
            <w:r w:rsidRPr="00B72CCC">
              <w:rPr>
                <w:rFonts w:ascii="Arial" w:eastAsia="Times New Roman" w:hAnsi="Arial" w:cs="Arial"/>
                <w:color w:val="000000"/>
                <w:sz w:val="20"/>
                <w:szCs w:val="20"/>
                <w:lang w:val="es-CO" w:eastAsia="es-CO"/>
              </w:rPr>
              <w:t xml:space="preserve"> Totales de Acueducto, Suscriptores Totales de Alcantarillado, m3 Facturados m3 Vertidos, Tamaño de Redes y Calidad de Agua Cruda se ha validado el origen de los datos </w:t>
            </w:r>
            <w:r w:rsidR="00F81DD3" w:rsidRPr="00B72CCC">
              <w:rPr>
                <w:rFonts w:ascii="Arial" w:eastAsia="Times New Roman" w:hAnsi="Arial" w:cs="Arial"/>
                <w:color w:val="000000"/>
                <w:sz w:val="20"/>
                <w:szCs w:val="20"/>
                <w:lang w:val="es-CO" w:eastAsia="es-CO"/>
              </w:rPr>
              <w:t>consignados</w:t>
            </w:r>
            <w:r w:rsidRPr="00B72CCC">
              <w:rPr>
                <w:rFonts w:ascii="Arial" w:eastAsia="Times New Roman" w:hAnsi="Arial" w:cs="Arial"/>
                <w:color w:val="000000"/>
                <w:sz w:val="20"/>
                <w:szCs w:val="20"/>
                <w:lang w:val="es-CO" w:eastAsia="es-CO"/>
              </w:rPr>
              <w:t xml:space="preserve"> en la Res. 791 de 2017 encontrando que corresponden con la información real de operativa y comercial de este Prestador. Sin embargo, en cuanto a las variables Suscriptores con Micromedición, Suscriptores Estrato 01 y 02 y Suscriptores Comerciales e Industriales, no ha sido </w:t>
            </w:r>
            <w:r w:rsidR="00F81DD3" w:rsidRPr="00B72CCC">
              <w:rPr>
                <w:rFonts w:ascii="Arial" w:eastAsia="Times New Roman" w:hAnsi="Arial" w:cs="Arial"/>
                <w:color w:val="000000"/>
                <w:sz w:val="20"/>
                <w:szCs w:val="20"/>
                <w:lang w:val="es-CO" w:eastAsia="es-CO"/>
              </w:rPr>
              <w:t>posible</w:t>
            </w:r>
            <w:r w:rsidRPr="00B72CCC">
              <w:rPr>
                <w:rFonts w:ascii="Arial" w:eastAsia="Times New Roman" w:hAnsi="Arial" w:cs="Arial"/>
                <w:color w:val="000000"/>
                <w:sz w:val="20"/>
                <w:szCs w:val="20"/>
                <w:lang w:val="es-CO" w:eastAsia="es-CO"/>
              </w:rPr>
              <w:t xml:space="preserve"> determinar el ejercicio matemático efectuado para obtener estos valores. Incluso, para las dos últimas variables citadas se observa que el valor registrado en la Res. CRA 791 de 2017 es menor al promedio anual de las mimas para los períodos 2013 y 2014.(Ver tabla página 4)</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De acuerdo con lo anterior, agradecemos se aclare cómo se determinó el valor de las variables Suscriptores con Micromedición, Suscriptores Estrato 1 y 2 y Suscriptores Comerciales e Industriales de Triple A S.A. E.S.P. utilizadas en el modelo de eficiencia comparativa, o en caso contrario corregir dichos valores con los propios de Triple A  S.A. E.S.P. según la información reportada en SUI por este Operados y detallada en la Res. 782 de 2016.</w:t>
            </w:r>
          </w:p>
        </w:tc>
      </w:tr>
      <w:tr w:rsidR="00A5241F" w:rsidRPr="00B72CCC" w14:paraId="72D3F5F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7356B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2ED314D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2ABEA2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890E25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7948387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75F6D97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43A75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678DE5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Revisión del valor de las variables del modelo</w:t>
            </w:r>
          </w:p>
        </w:tc>
      </w:tr>
      <w:tr w:rsidR="00A5241F" w:rsidRPr="00B72CCC" w14:paraId="22B9532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A01A1F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4BAF64C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48A0681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AB6B4A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E3CAC08" w14:textId="6785D7DB"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420B0">
              <w:rPr>
                <w:rFonts w:ascii="Arial" w:eastAsia="Times New Roman" w:hAnsi="Arial" w:cs="Arial"/>
                <w:color w:val="000000"/>
                <w:sz w:val="20"/>
                <w:szCs w:val="20"/>
                <w:lang w:val="es-CO" w:eastAsia="es-CO"/>
              </w:rPr>
              <w:t>RESPUESTA No.5</w:t>
            </w:r>
          </w:p>
        </w:tc>
      </w:tr>
      <w:tr w:rsidR="00A5241F" w:rsidRPr="00B72CCC" w14:paraId="379986E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CC5917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5269958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100</w:t>
            </w:r>
          </w:p>
        </w:tc>
      </w:tr>
      <w:tr w:rsidR="00A5241F" w:rsidRPr="00B72CCC" w14:paraId="527F4F8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7D9FEC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210EDE9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20173210059242</w:t>
            </w:r>
          </w:p>
        </w:tc>
      </w:tr>
      <w:tr w:rsidR="00A5241F" w:rsidRPr="00B72CCC" w14:paraId="59CF42B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1BD39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B918CB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621D1A3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F3FF75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5401BF8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Sociedad de Acueducto, Alcantarillado y Aseo de Barranquilla S.A.  E.S.P.</w:t>
            </w:r>
          </w:p>
        </w:tc>
      </w:tr>
      <w:tr w:rsidR="00A5241F" w:rsidRPr="00B72CCC" w14:paraId="130F858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183CC6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8467BF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17331C3F"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58380F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30F7382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60A9A3C3" w14:textId="77777777" w:rsidTr="001A1254">
        <w:trPr>
          <w:trHeight w:val="162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ECF671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15B1CA46"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Sobre la muestra de empresas incluidas para la corrida del modelo:  Para la corrida del modelo DEA realizada por la Comisión, solo se tuvo en cuenta la información de 9 empresas, de un total de 22 listadas en el Anexo II de la Resolución CRA 688 de 2014. Lo anterior debido a que 13 empresas no cumplieron los parámetros mínimos de inclusión, no reportaron la información al SUI dentro de los plazos establecidos, o no justificaron adecuadamente sus atipicidades. Sin embargo, por la alta incidencia financiera de los resultados del DEA, consideramos pertinente ampliar la muestra de empresas, y así obtener unos resultados más robustos.</w:t>
            </w:r>
          </w:p>
        </w:tc>
      </w:tr>
      <w:tr w:rsidR="00A5241F" w:rsidRPr="00B72CCC" w14:paraId="0F8CD7C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6FC62D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B693E6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31CA2D8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93DE03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45CF039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SUGERENCIA</w:t>
            </w:r>
          </w:p>
        </w:tc>
      </w:tr>
      <w:tr w:rsidR="00A5241F" w:rsidRPr="00B72CCC" w14:paraId="02B1C9D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4421E5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6792B83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60F63AF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98BE8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3D22C31"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RECHAZAR</w:t>
            </w:r>
          </w:p>
        </w:tc>
      </w:tr>
      <w:tr w:rsidR="00A5241F" w:rsidRPr="00B72CCC" w14:paraId="16266DC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141674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2524F70D" w14:textId="7BA8C1DB"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A1254" w:rsidRPr="00146648">
              <w:rPr>
                <w:rFonts w:ascii="Arial" w:eastAsia="Times New Roman" w:hAnsi="Arial" w:cs="Arial"/>
                <w:color w:val="000000"/>
                <w:sz w:val="20"/>
                <w:szCs w:val="20"/>
                <w:lang w:val="es-CO" w:eastAsia="es-CO"/>
              </w:rPr>
              <w:t>RESPUESTA No.1</w:t>
            </w:r>
          </w:p>
        </w:tc>
      </w:tr>
      <w:tr w:rsidR="00A5241F" w:rsidRPr="00B72CCC" w14:paraId="6BFA9BA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4E9D7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71FC028C"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101</w:t>
            </w:r>
          </w:p>
        </w:tc>
      </w:tr>
      <w:tr w:rsidR="00A5241F" w:rsidRPr="00B72CCC" w14:paraId="6DABF00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832845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150B4D9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20173210059242</w:t>
            </w:r>
          </w:p>
        </w:tc>
      </w:tr>
      <w:tr w:rsidR="00A5241F" w:rsidRPr="00B72CCC" w14:paraId="45E4F9C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824C88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62F0BD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3FA74CE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C4E8773"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6BAF5045"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Sociedad de Acueducto, Alcantarillado y Aseo de Barranquilla S.A.  E.S.P.</w:t>
            </w:r>
          </w:p>
        </w:tc>
      </w:tr>
      <w:tr w:rsidR="00A5241F" w:rsidRPr="00B72CCC" w14:paraId="1C574A7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03DC15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C2ED969"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15CB3A8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BD08F5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6B18142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F944B9B" w14:textId="77777777" w:rsidTr="001A1254">
        <w:trPr>
          <w:trHeight w:val="5452"/>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090EC7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42CB62A6" w14:textId="7381D072"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Además, de las 9 empresas incluidas, hay dos empresas que presentan particularidades frente a las demás y que por tanto no deberían ser tenidas en cuenta en el grupo básico. La primera tiene tarifa contractual, y por tanto los resultados del modelo DEA no se reflejarán en los valores facturados a sus usuarios. La otra empresa pertene al segmento 2, razón por la cual no debería considerarse comparable con las empresas del segmento 1. Lo anterior basado en lo indicado por su entidad, en el numeral 9.3 del documento de trabajo de la Resolución CRA 735 de 2015: </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 xml:space="preserve">"Ahora bien, para el caso de las personas prestadoras con APS del segundo segmento que opten por aplicar la metodología del primer segmento, la Comisión calculará los puntajes de eficiencia, teniendo en cuentas las siguientes condiciones: </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a) Si existe GRUPO BÁSICO y la persona prestadora cumple con los parámetros mínimos establecidos en el numeral 9.1 de este documento y no presenta datos atípicos en la información reportada en el SUI de acuerdo con los criterios definidos por la CRA, el PDEA será estimado e informado por la CRA, sin modificar los puntajes de las APS pertenecientes al grupo básico. Si no cumple con los parámetros mínimos, aplicará el menor CAU* y COU* resultante del grupo básico" (Subrayado fuera de texto)</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 xml:space="preserve">Lo anterior es reiterado en el parágrafo 6 del </w:t>
            </w:r>
            <w:r w:rsidR="001A1254" w:rsidRPr="00B72CCC">
              <w:rPr>
                <w:rFonts w:ascii="Arial" w:eastAsia="Times New Roman" w:hAnsi="Arial" w:cs="Arial"/>
                <w:color w:val="000000"/>
                <w:sz w:val="20"/>
                <w:szCs w:val="20"/>
                <w:lang w:val="es-CO" w:eastAsia="es-CO"/>
              </w:rPr>
              <w:t>artículo</w:t>
            </w:r>
            <w:r w:rsidRPr="00B72CCC">
              <w:rPr>
                <w:rFonts w:ascii="Arial" w:eastAsia="Times New Roman" w:hAnsi="Arial" w:cs="Arial"/>
                <w:color w:val="000000"/>
                <w:sz w:val="20"/>
                <w:szCs w:val="20"/>
                <w:lang w:val="es-CO" w:eastAsia="es-CO"/>
              </w:rPr>
              <w:t xml:space="preserve"> 10 y en el parágrafo 6 del artículo 13 de la Resolución CRA 735 de 2015. Por tanto, en los casos de las APS del segundo segmento que opten por aplicar la metodología del primero, sus puntajes deber ser calculados por aparte considerando la información del grupo básico, conformado únicamente por empresas del segmento 1, y sus resultados no deben afectar los puntajes de las APS pertenecientes al grupo básico. </w:t>
            </w:r>
          </w:p>
        </w:tc>
      </w:tr>
      <w:tr w:rsidR="00A5241F" w:rsidRPr="00B72CCC" w14:paraId="24531136"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7252FDB"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8A9C76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7635920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1C7FBF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01AFBA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REPARO</w:t>
            </w:r>
          </w:p>
        </w:tc>
      </w:tr>
      <w:tr w:rsidR="00A5241F" w:rsidRPr="00B72CCC" w14:paraId="6AC3DA5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0301E9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5113417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Inclusión y exclusión de empresas de la muestra</w:t>
            </w:r>
          </w:p>
        </w:tc>
      </w:tr>
      <w:tr w:rsidR="00A5241F" w:rsidRPr="00B72CCC" w14:paraId="3628240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69CD90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7A3DF68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ACEPTAR</w:t>
            </w:r>
          </w:p>
        </w:tc>
      </w:tr>
      <w:tr w:rsidR="00A5241F" w:rsidRPr="00B72CCC" w14:paraId="61F4133E"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CFA681F"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6D794FB7" w14:textId="3A1F23AF"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1A1254" w:rsidRPr="00146648">
              <w:rPr>
                <w:rFonts w:ascii="Arial" w:eastAsia="Times New Roman" w:hAnsi="Arial" w:cs="Arial"/>
                <w:color w:val="000000"/>
                <w:sz w:val="20"/>
                <w:szCs w:val="20"/>
                <w:lang w:val="es-CO" w:eastAsia="es-CO"/>
              </w:rPr>
              <w:t>RESPUESTA No.1</w:t>
            </w:r>
          </w:p>
        </w:tc>
      </w:tr>
      <w:tr w:rsidR="00A5241F" w:rsidRPr="00B72CCC" w14:paraId="14B9FA41"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B9323C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06D0D6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102</w:t>
            </w:r>
          </w:p>
        </w:tc>
      </w:tr>
      <w:tr w:rsidR="00A5241F" w:rsidRPr="00B72CCC" w14:paraId="7944F99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C23E8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5FE542EA"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20173210059252</w:t>
            </w:r>
          </w:p>
        </w:tc>
      </w:tr>
      <w:tr w:rsidR="00A5241F" w:rsidRPr="00B72CCC" w14:paraId="63BFE3E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62866A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36F8040B"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024F739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395E5F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38A3E33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Servicios Públicos de Valledupar  EMDUPAR S.A. E.S.P</w:t>
            </w:r>
          </w:p>
        </w:tc>
      </w:tr>
      <w:tr w:rsidR="00A5241F" w:rsidRPr="00B72CCC" w14:paraId="2D99EE4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D1248D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01802F0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7CADBD4D"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555CFA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80B830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097FE9C8" w14:textId="77777777" w:rsidTr="001A1254">
        <w:trPr>
          <w:trHeight w:val="3326"/>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04425C4"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lastRenderedPageBreak/>
              <w:t>Consulta</w:t>
            </w:r>
          </w:p>
        </w:tc>
        <w:tc>
          <w:tcPr>
            <w:tcW w:w="0" w:type="auto"/>
            <w:tcBorders>
              <w:top w:val="nil"/>
              <w:left w:val="nil"/>
              <w:bottom w:val="single" w:sz="4" w:space="0" w:color="auto"/>
              <w:right w:val="single" w:sz="4" w:space="0" w:color="auto"/>
            </w:tcBorders>
            <w:shd w:val="clear" w:color="auto" w:fill="auto"/>
            <w:vAlign w:val="bottom"/>
            <w:hideMark/>
          </w:tcPr>
          <w:p w14:paraId="41698E2B" w14:textId="56C40639"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Parámetros de inclusión - Año 2014. Continuidad (3,29%) - El dato reportado no se ajusta al valor asignado al parámetro o es inconsistente:  Ustedes argum</w:t>
            </w:r>
            <w:r w:rsidR="004B7180">
              <w:rPr>
                <w:rFonts w:ascii="Arial" w:eastAsia="Times New Roman" w:hAnsi="Arial" w:cs="Arial"/>
                <w:color w:val="000000"/>
                <w:sz w:val="20"/>
                <w:szCs w:val="20"/>
                <w:lang w:val="es-CO" w:eastAsia="es-CO"/>
              </w:rPr>
              <w:t xml:space="preserve">entan lo siguiente: "Respecto </w:t>
            </w:r>
            <w:r w:rsidR="004B7180" w:rsidRPr="00B72CCC">
              <w:rPr>
                <w:rFonts w:ascii="Arial" w:eastAsia="Times New Roman" w:hAnsi="Arial" w:cs="Arial"/>
                <w:color w:val="000000"/>
                <w:sz w:val="20"/>
                <w:szCs w:val="20"/>
                <w:lang w:val="es-CO" w:eastAsia="es-CO"/>
              </w:rPr>
              <w:t>a la atipicidad</w:t>
            </w:r>
            <w:r w:rsidRPr="00B72CCC">
              <w:rPr>
                <w:rFonts w:ascii="Arial" w:eastAsia="Times New Roman" w:hAnsi="Arial" w:cs="Arial"/>
                <w:color w:val="000000"/>
                <w:sz w:val="20"/>
                <w:szCs w:val="20"/>
                <w:lang w:val="es-CO" w:eastAsia="es-CO"/>
              </w:rPr>
              <w:t xml:space="preserve"> que presenta el parámetro de inclusión Continuidad, la ESP informa que solicitó modificación en la de trabajo con la Superintendencia de Servicios Públicos Domiciliarios del formulario de continuidad, y anexan el cargue realizado en el SUI. No obstante, reportan 24 horas mensuales para dicha variable, evidenciando reincidencia en error de cargue (Anexo 2), razón por la cual se considera dato atípico no justificable".</w:t>
            </w:r>
            <w:r w:rsidRPr="00B72CCC">
              <w:rPr>
                <w:rFonts w:ascii="Arial" w:eastAsia="Times New Roman" w:hAnsi="Arial" w:cs="Arial"/>
                <w:color w:val="000000"/>
                <w:sz w:val="20"/>
                <w:szCs w:val="20"/>
                <w:lang w:val="es-CO" w:eastAsia="es-CO"/>
              </w:rPr>
              <w:br w:type="page"/>
            </w:r>
            <w:r w:rsidRPr="00B72CCC">
              <w:rPr>
                <w:rFonts w:ascii="Arial" w:eastAsia="Times New Roman" w:hAnsi="Arial" w:cs="Arial"/>
                <w:color w:val="000000"/>
                <w:sz w:val="20"/>
                <w:szCs w:val="20"/>
                <w:lang w:val="es-CO" w:eastAsia="es-CO"/>
              </w:rPr>
              <w:br w:type="page"/>
              <w:t xml:space="preserve">La respuesta de nosotros fue que este Formulario no se habilitó para periodicidad de enero a diciembre de 2014, mediante solicitud a la mesa de ayuda del SUI No.346908, la cual se adjunta, se solicitó la </w:t>
            </w:r>
            <w:r w:rsidR="004B7180" w:rsidRPr="00B72CCC">
              <w:rPr>
                <w:rFonts w:ascii="Arial" w:eastAsia="Times New Roman" w:hAnsi="Arial" w:cs="Arial"/>
                <w:color w:val="000000"/>
                <w:sz w:val="20"/>
                <w:szCs w:val="20"/>
                <w:lang w:val="es-CO" w:eastAsia="es-CO"/>
              </w:rPr>
              <w:t>habilitación</w:t>
            </w:r>
            <w:r w:rsidRPr="00B72CCC">
              <w:rPr>
                <w:rFonts w:ascii="Arial" w:eastAsia="Times New Roman" w:hAnsi="Arial" w:cs="Arial"/>
                <w:color w:val="000000"/>
                <w:sz w:val="20"/>
                <w:szCs w:val="20"/>
                <w:lang w:val="es-CO" w:eastAsia="es-CO"/>
              </w:rPr>
              <w:t xml:space="preserve"> del artículo 2.4.2.29 FORMULARIO. CONTINUIDAD EN LA OFERTA DEL SERVICIO DE ACUEDUCTO, Resolución No. SSPD 2010300048765 de 14 de diciembre de 2010, Tópico Técnico Operativo, Servicio de Acueducto, Periodicidad Mensual, los cuales fueron habilitados por la SSPD y certificados con la información que se recepcionó del Tópico Técnico Operativo siendo esta la presentación de continuidad REAL de la empresa en dicha anualidad. </w:t>
            </w:r>
          </w:p>
        </w:tc>
      </w:tr>
      <w:tr w:rsidR="00A5241F" w:rsidRPr="00B72CCC" w14:paraId="3829996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B384F30"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0A429A6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08CD3DE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2EEF3BFE"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2ADD59D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5A4D2410"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44CD108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0A00C333"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A5241F" w:rsidRPr="00B72CCC" w14:paraId="4EB5310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5C6D5DE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6AB8CD9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393CD8CB"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82641A5"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0EB10C98" w14:textId="4078C2F6"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4B7180">
              <w:rPr>
                <w:rFonts w:ascii="Arial" w:eastAsia="Times New Roman" w:hAnsi="Arial" w:cs="Arial"/>
                <w:color w:val="000000"/>
                <w:sz w:val="20"/>
                <w:szCs w:val="20"/>
                <w:lang w:val="es-CO" w:eastAsia="es-CO"/>
              </w:rPr>
              <w:t>RESPUESTA No.2</w:t>
            </w:r>
          </w:p>
        </w:tc>
      </w:tr>
      <w:tr w:rsidR="00A5241F" w:rsidRPr="00B72CCC" w14:paraId="252742D5"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55B8B6"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Consecutivo</w:t>
            </w:r>
          </w:p>
        </w:tc>
        <w:tc>
          <w:tcPr>
            <w:tcW w:w="0" w:type="auto"/>
            <w:tcBorders>
              <w:top w:val="nil"/>
              <w:left w:val="nil"/>
              <w:bottom w:val="single" w:sz="4" w:space="0" w:color="auto"/>
              <w:right w:val="single" w:sz="4" w:space="0" w:color="auto"/>
            </w:tcBorders>
            <w:shd w:val="clear" w:color="000000" w:fill="BFBFBF"/>
            <w:vAlign w:val="bottom"/>
            <w:hideMark/>
          </w:tcPr>
          <w:p w14:paraId="699C1D91"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103</w:t>
            </w:r>
          </w:p>
        </w:tc>
      </w:tr>
      <w:tr w:rsidR="00A5241F" w:rsidRPr="00B72CCC" w14:paraId="0D3FF43C"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E3BA23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Radicado</w:t>
            </w:r>
          </w:p>
        </w:tc>
        <w:tc>
          <w:tcPr>
            <w:tcW w:w="0" w:type="auto"/>
            <w:tcBorders>
              <w:top w:val="nil"/>
              <w:left w:val="nil"/>
              <w:bottom w:val="single" w:sz="4" w:space="0" w:color="auto"/>
              <w:right w:val="single" w:sz="4" w:space="0" w:color="auto"/>
            </w:tcBorders>
            <w:shd w:val="clear" w:color="auto" w:fill="auto"/>
            <w:vAlign w:val="bottom"/>
            <w:hideMark/>
          </w:tcPr>
          <w:p w14:paraId="00CB2B1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20173210059252</w:t>
            </w:r>
          </w:p>
        </w:tc>
      </w:tr>
      <w:tr w:rsidR="00A5241F" w:rsidRPr="00B72CCC" w14:paraId="0D978373"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6989591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Fecha de Radicado</w:t>
            </w:r>
          </w:p>
        </w:tc>
        <w:tc>
          <w:tcPr>
            <w:tcW w:w="0" w:type="auto"/>
            <w:tcBorders>
              <w:top w:val="nil"/>
              <w:left w:val="nil"/>
              <w:bottom w:val="single" w:sz="4" w:space="0" w:color="auto"/>
              <w:right w:val="single" w:sz="4" w:space="0" w:color="auto"/>
            </w:tcBorders>
            <w:shd w:val="clear" w:color="auto" w:fill="auto"/>
            <w:vAlign w:val="bottom"/>
            <w:hideMark/>
          </w:tcPr>
          <w:p w14:paraId="552BD502"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05 de julio de 2017</w:t>
            </w:r>
          </w:p>
        </w:tc>
      </w:tr>
      <w:tr w:rsidR="00A5241F" w:rsidRPr="00B72CCC" w14:paraId="4F29EE4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89A7E77"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Remitente</w:t>
            </w:r>
          </w:p>
        </w:tc>
        <w:tc>
          <w:tcPr>
            <w:tcW w:w="0" w:type="auto"/>
            <w:tcBorders>
              <w:top w:val="nil"/>
              <w:left w:val="nil"/>
              <w:bottom w:val="single" w:sz="4" w:space="0" w:color="auto"/>
              <w:right w:val="single" w:sz="4" w:space="0" w:color="auto"/>
            </w:tcBorders>
            <w:shd w:val="clear" w:color="auto" w:fill="auto"/>
            <w:vAlign w:val="bottom"/>
            <w:hideMark/>
          </w:tcPr>
          <w:p w14:paraId="29F24ABD"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Empresa de Servicios Públicos de Valledupar  EMDUPAR S.A. E.S.P</w:t>
            </w:r>
          </w:p>
        </w:tc>
      </w:tr>
      <w:tr w:rsidR="00A5241F" w:rsidRPr="00B72CCC" w14:paraId="26A4CCE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A70DC9"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Ciudad</w:t>
            </w:r>
          </w:p>
        </w:tc>
        <w:tc>
          <w:tcPr>
            <w:tcW w:w="0" w:type="auto"/>
            <w:tcBorders>
              <w:top w:val="nil"/>
              <w:left w:val="nil"/>
              <w:bottom w:val="single" w:sz="4" w:space="0" w:color="auto"/>
              <w:right w:val="single" w:sz="4" w:space="0" w:color="auto"/>
            </w:tcBorders>
            <w:shd w:val="clear" w:color="auto" w:fill="auto"/>
            <w:vAlign w:val="bottom"/>
            <w:hideMark/>
          </w:tcPr>
          <w:p w14:paraId="21C89264"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Barranquilla</w:t>
            </w:r>
          </w:p>
        </w:tc>
      </w:tr>
      <w:tr w:rsidR="00A5241F" w:rsidRPr="00B72CCC" w14:paraId="5E5BB054"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B55E48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remitente</w:t>
            </w:r>
          </w:p>
        </w:tc>
        <w:tc>
          <w:tcPr>
            <w:tcW w:w="0" w:type="auto"/>
            <w:tcBorders>
              <w:top w:val="nil"/>
              <w:left w:val="nil"/>
              <w:bottom w:val="single" w:sz="4" w:space="0" w:color="auto"/>
              <w:right w:val="single" w:sz="4" w:space="0" w:color="auto"/>
            </w:tcBorders>
            <w:shd w:val="clear" w:color="auto" w:fill="auto"/>
            <w:vAlign w:val="bottom"/>
            <w:hideMark/>
          </w:tcPr>
          <w:p w14:paraId="492CFFBC"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xml:space="preserve">EMPRESA </w:t>
            </w:r>
          </w:p>
        </w:tc>
      </w:tr>
      <w:tr w:rsidR="00A5241F" w:rsidRPr="00B72CCC" w14:paraId="1291F4D4" w14:textId="77777777" w:rsidTr="00564245">
        <w:trPr>
          <w:trHeight w:val="978"/>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E8868F8"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Consulta</w:t>
            </w:r>
          </w:p>
        </w:tc>
        <w:tc>
          <w:tcPr>
            <w:tcW w:w="0" w:type="auto"/>
            <w:tcBorders>
              <w:top w:val="nil"/>
              <w:left w:val="nil"/>
              <w:bottom w:val="single" w:sz="4" w:space="0" w:color="auto"/>
              <w:right w:val="single" w:sz="4" w:space="0" w:color="auto"/>
            </w:tcBorders>
            <w:shd w:val="clear" w:color="auto" w:fill="auto"/>
            <w:vAlign w:val="bottom"/>
            <w:hideMark/>
          </w:tcPr>
          <w:p w14:paraId="522FE5DB" w14:textId="372A1C67" w:rsidR="00A5241F" w:rsidRPr="00B72CCC" w:rsidRDefault="00A5241F" w:rsidP="00A5241F">
            <w:pPr>
              <w:suppressAutoHyphens w:val="0"/>
              <w:spacing w:after="24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Suscriptores de Acueducto Industriales - 16, Corresponde de un dato atípico</w:t>
            </w:r>
            <w:r w:rsidR="00564245">
              <w:rPr>
                <w:rFonts w:ascii="Arial" w:eastAsia="Times New Roman" w:hAnsi="Arial" w:cs="Arial"/>
                <w:color w:val="000000"/>
                <w:sz w:val="20"/>
                <w:szCs w:val="20"/>
                <w:lang w:val="es-CO" w:eastAsia="es-CO"/>
              </w:rPr>
              <w:t>.</w:t>
            </w:r>
            <w:r w:rsidRPr="00B72CCC">
              <w:rPr>
                <w:rFonts w:ascii="Arial" w:eastAsia="Times New Roman" w:hAnsi="Arial" w:cs="Arial"/>
                <w:color w:val="000000"/>
                <w:sz w:val="20"/>
                <w:szCs w:val="20"/>
                <w:lang w:val="es-CO" w:eastAsia="es-CO"/>
              </w:rPr>
              <w:br/>
            </w:r>
            <w:r w:rsidRPr="00B72CCC">
              <w:rPr>
                <w:rFonts w:ascii="Arial" w:eastAsia="Times New Roman" w:hAnsi="Arial" w:cs="Arial"/>
                <w:color w:val="000000"/>
                <w:sz w:val="20"/>
                <w:szCs w:val="20"/>
                <w:lang w:val="es-CO" w:eastAsia="es-CO"/>
              </w:rPr>
              <w:br/>
              <w:t xml:space="preserve">Si se realiza un análisis al promedio de suscriptores comerciales de los años 2010 al 2014, se puede observar que para el año 2010 es de 14 suscriptores, para los años 2011, 2012 y 2013, es de 15 </w:t>
            </w:r>
            <w:r w:rsidR="001A1254" w:rsidRPr="00B72CCC">
              <w:rPr>
                <w:rFonts w:ascii="Arial" w:eastAsia="Times New Roman" w:hAnsi="Arial" w:cs="Arial"/>
                <w:color w:val="000000"/>
                <w:sz w:val="20"/>
                <w:szCs w:val="20"/>
                <w:lang w:val="es-CO" w:eastAsia="es-CO"/>
              </w:rPr>
              <w:t>suscriptores</w:t>
            </w:r>
            <w:r w:rsidRPr="00B72CCC">
              <w:rPr>
                <w:rFonts w:ascii="Arial" w:eastAsia="Times New Roman" w:hAnsi="Arial" w:cs="Arial"/>
                <w:color w:val="000000"/>
                <w:sz w:val="20"/>
                <w:szCs w:val="20"/>
                <w:lang w:val="es-CO" w:eastAsia="es-CO"/>
              </w:rPr>
              <w:t>, en el año 2014 se adicionó un suscriptor quedando en 16, el usuario que se adicionó corresponde al código</w:t>
            </w:r>
            <w:r w:rsidR="00564245">
              <w:rPr>
                <w:rFonts w:ascii="Arial" w:eastAsia="Times New Roman" w:hAnsi="Arial" w:cs="Arial"/>
                <w:color w:val="000000"/>
                <w:sz w:val="20"/>
                <w:szCs w:val="20"/>
                <w:lang w:val="es-CO" w:eastAsia="es-CO"/>
              </w:rPr>
              <w:t xml:space="preserve"> 56985 DISARGO LTDA.</w:t>
            </w:r>
          </w:p>
        </w:tc>
      </w:tr>
      <w:tr w:rsidR="00A5241F" w:rsidRPr="00B72CCC" w14:paraId="4A765BB2"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46A1C92"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Escrita/Presencial</w:t>
            </w:r>
          </w:p>
        </w:tc>
        <w:tc>
          <w:tcPr>
            <w:tcW w:w="0" w:type="auto"/>
            <w:tcBorders>
              <w:top w:val="nil"/>
              <w:left w:val="nil"/>
              <w:bottom w:val="single" w:sz="4" w:space="0" w:color="auto"/>
              <w:right w:val="single" w:sz="4" w:space="0" w:color="auto"/>
            </w:tcBorders>
            <w:shd w:val="clear" w:color="auto" w:fill="auto"/>
            <w:vAlign w:val="bottom"/>
            <w:hideMark/>
          </w:tcPr>
          <w:p w14:paraId="75D6BF50"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ESCRITA</w:t>
            </w:r>
          </w:p>
        </w:tc>
      </w:tr>
      <w:tr w:rsidR="00A5241F" w:rsidRPr="00B72CCC" w14:paraId="611BF457"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39A88A6A"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Consulta</w:t>
            </w:r>
          </w:p>
        </w:tc>
        <w:tc>
          <w:tcPr>
            <w:tcW w:w="0" w:type="auto"/>
            <w:tcBorders>
              <w:top w:val="nil"/>
              <w:left w:val="nil"/>
              <w:bottom w:val="single" w:sz="4" w:space="0" w:color="auto"/>
              <w:right w:val="single" w:sz="4" w:space="0" w:color="auto"/>
            </w:tcBorders>
            <w:shd w:val="clear" w:color="auto" w:fill="auto"/>
            <w:vAlign w:val="bottom"/>
            <w:hideMark/>
          </w:tcPr>
          <w:p w14:paraId="11D2DAAE"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OBSERVACIÓN</w:t>
            </w:r>
          </w:p>
        </w:tc>
      </w:tr>
      <w:tr w:rsidR="00A5241F" w:rsidRPr="00B72CCC" w14:paraId="0FC86B48"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0879911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Eje temático</w:t>
            </w:r>
          </w:p>
        </w:tc>
        <w:tc>
          <w:tcPr>
            <w:tcW w:w="0" w:type="auto"/>
            <w:tcBorders>
              <w:top w:val="nil"/>
              <w:left w:val="nil"/>
              <w:bottom w:val="single" w:sz="4" w:space="0" w:color="auto"/>
              <w:right w:val="single" w:sz="4" w:space="0" w:color="auto"/>
            </w:tcBorders>
            <w:shd w:val="clear" w:color="auto" w:fill="auto"/>
            <w:vAlign w:val="bottom"/>
            <w:hideMark/>
          </w:tcPr>
          <w:p w14:paraId="3AC0C167"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Datos atípicos</w:t>
            </w:r>
          </w:p>
        </w:tc>
      </w:tr>
      <w:tr w:rsidR="00A5241F" w:rsidRPr="00B72CCC" w14:paraId="7259C879"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16C85AF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Tipo de Respuesta</w:t>
            </w:r>
          </w:p>
        </w:tc>
        <w:tc>
          <w:tcPr>
            <w:tcW w:w="0" w:type="auto"/>
            <w:tcBorders>
              <w:top w:val="nil"/>
              <w:left w:val="nil"/>
              <w:bottom w:val="single" w:sz="4" w:space="0" w:color="auto"/>
              <w:right w:val="single" w:sz="4" w:space="0" w:color="auto"/>
            </w:tcBorders>
            <w:shd w:val="clear" w:color="auto" w:fill="auto"/>
            <w:vAlign w:val="bottom"/>
            <w:hideMark/>
          </w:tcPr>
          <w:p w14:paraId="1F57475F" w14:textId="77777777"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ACLARAR</w:t>
            </w:r>
          </w:p>
        </w:tc>
      </w:tr>
      <w:tr w:rsidR="00A5241F" w:rsidRPr="00B72CCC" w14:paraId="7838AEDA" w14:textId="77777777" w:rsidTr="00B72CCC">
        <w:trPr>
          <w:trHeight w:val="315"/>
        </w:trPr>
        <w:tc>
          <w:tcPr>
            <w:tcW w:w="0" w:type="auto"/>
            <w:tcBorders>
              <w:top w:val="nil"/>
              <w:left w:val="single" w:sz="4" w:space="0" w:color="auto"/>
              <w:bottom w:val="single" w:sz="4" w:space="0" w:color="auto"/>
              <w:right w:val="single" w:sz="4" w:space="0" w:color="auto"/>
            </w:tcBorders>
            <w:shd w:val="clear" w:color="9999FF" w:fill="BFBFBF"/>
            <w:vAlign w:val="center"/>
            <w:hideMark/>
          </w:tcPr>
          <w:p w14:paraId="796CB64D" w14:textId="77777777" w:rsidR="00A5241F" w:rsidRPr="00B72CCC" w:rsidRDefault="00A5241F" w:rsidP="00A5241F">
            <w:pPr>
              <w:suppressAutoHyphens w:val="0"/>
              <w:spacing w:after="0" w:line="240" w:lineRule="auto"/>
              <w:jc w:val="center"/>
              <w:rPr>
                <w:rFonts w:ascii="Arial" w:eastAsia="Times New Roman" w:hAnsi="Arial" w:cs="Arial"/>
                <w:b/>
                <w:bCs/>
                <w:sz w:val="20"/>
                <w:szCs w:val="20"/>
                <w:lang w:val="es-CO" w:eastAsia="es-CO"/>
              </w:rPr>
            </w:pPr>
            <w:r w:rsidRPr="00B72CCC">
              <w:rPr>
                <w:rFonts w:ascii="Arial" w:eastAsia="Times New Roman" w:hAnsi="Arial" w:cs="Arial"/>
                <w:b/>
                <w:bCs/>
                <w:sz w:val="20"/>
                <w:szCs w:val="20"/>
                <w:lang w:val="es-CO" w:eastAsia="es-CO"/>
              </w:rPr>
              <w:t>Respuesta</w:t>
            </w:r>
          </w:p>
        </w:tc>
        <w:tc>
          <w:tcPr>
            <w:tcW w:w="0" w:type="auto"/>
            <w:tcBorders>
              <w:top w:val="nil"/>
              <w:left w:val="nil"/>
              <w:bottom w:val="single" w:sz="4" w:space="0" w:color="auto"/>
              <w:right w:val="single" w:sz="4" w:space="0" w:color="auto"/>
            </w:tcBorders>
            <w:shd w:val="clear" w:color="auto" w:fill="auto"/>
            <w:vAlign w:val="bottom"/>
            <w:hideMark/>
          </w:tcPr>
          <w:p w14:paraId="5A9A9AFC" w14:textId="12E98FCD" w:rsidR="00A5241F" w:rsidRPr="00B72CCC" w:rsidRDefault="00A5241F" w:rsidP="00A5241F">
            <w:pPr>
              <w:suppressAutoHyphens w:val="0"/>
              <w:spacing w:after="0" w:line="240" w:lineRule="auto"/>
              <w:jc w:val="both"/>
              <w:rPr>
                <w:rFonts w:ascii="Arial" w:eastAsia="Times New Roman" w:hAnsi="Arial" w:cs="Arial"/>
                <w:color w:val="000000"/>
                <w:sz w:val="20"/>
                <w:szCs w:val="20"/>
                <w:lang w:val="es-CO" w:eastAsia="es-CO"/>
              </w:rPr>
            </w:pPr>
            <w:r w:rsidRPr="00B72CCC">
              <w:rPr>
                <w:rFonts w:ascii="Arial" w:eastAsia="Times New Roman" w:hAnsi="Arial" w:cs="Arial"/>
                <w:color w:val="000000"/>
                <w:sz w:val="20"/>
                <w:szCs w:val="20"/>
                <w:lang w:val="es-CO" w:eastAsia="es-CO"/>
              </w:rPr>
              <w:t> </w:t>
            </w:r>
            <w:r w:rsidR="004B7180">
              <w:rPr>
                <w:rFonts w:ascii="Arial" w:eastAsia="Times New Roman" w:hAnsi="Arial" w:cs="Arial"/>
                <w:color w:val="000000"/>
                <w:sz w:val="20"/>
                <w:szCs w:val="20"/>
                <w:lang w:val="es-CO" w:eastAsia="es-CO"/>
              </w:rPr>
              <w:t>RESPUESTA No.2</w:t>
            </w:r>
          </w:p>
        </w:tc>
      </w:tr>
    </w:tbl>
    <w:p w14:paraId="3198E452" w14:textId="77777777" w:rsidR="00DE75A4" w:rsidRDefault="00DE75A4" w:rsidP="00DE75A4">
      <w:pPr>
        <w:spacing w:after="0" w:line="240" w:lineRule="auto"/>
        <w:ind w:left="284" w:hanging="284"/>
        <w:jc w:val="both"/>
        <w:rPr>
          <w:rFonts w:ascii="Arial" w:hAnsi="Arial" w:cs="Arial"/>
          <w:sz w:val="20"/>
          <w:szCs w:val="20"/>
          <w:lang w:val="es-MX"/>
        </w:rPr>
      </w:pPr>
    </w:p>
    <w:p w14:paraId="1B1FB571" w14:textId="51C54956" w:rsidR="00D311C6" w:rsidRDefault="00D311C6" w:rsidP="00DE75A4">
      <w:pPr>
        <w:spacing w:after="0" w:line="240" w:lineRule="auto"/>
        <w:ind w:left="284" w:hanging="284"/>
        <w:jc w:val="both"/>
        <w:rPr>
          <w:rFonts w:ascii="Arial" w:hAnsi="Arial" w:cs="Arial"/>
          <w:sz w:val="20"/>
          <w:szCs w:val="20"/>
          <w:lang w:val="es-MX"/>
        </w:rPr>
      </w:pPr>
    </w:p>
    <w:p w14:paraId="189B47A1" w14:textId="4BF51D33" w:rsidR="00564245" w:rsidRDefault="00564245" w:rsidP="00DE75A4">
      <w:pPr>
        <w:spacing w:after="0" w:line="240" w:lineRule="auto"/>
        <w:ind w:left="284" w:hanging="284"/>
        <w:jc w:val="both"/>
        <w:rPr>
          <w:rFonts w:ascii="Arial" w:hAnsi="Arial" w:cs="Arial"/>
          <w:sz w:val="20"/>
          <w:szCs w:val="20"/>
          <w:lang w:val="es-MX"/>
        </w:rPr>
      </w:pPr>
    </w:p>
    <w:p w14:paraId="156E1BD3" w14:textId="77777777" w:rsidR="00564245" w:rsidRDefault="00564245" w:rsidP="00DE75A4">
      <w:pPr>
        <w:spacing w:after="0" w:line="240" w:lineRule="auto"/>
        <w:ind w:left="284" w:hanging="284"/>
        <w:jc w:val="both"/>
        <w:rPr>
          <w:rFonts w:ascii="Arial" w:hAnsi="Arial" w:cs="Arial"/>
          <w:sz w:val="20"/>
          <w:szCs w:val="20"/>
          <w:lang w:val="es-MX"/>
        </w:rPr>
      </w:pPr>
    </w:p>
    <w:p w14:paraId="2A805E48" w14:textId="77777777" w:rsidR="00444A3E" w:rsidRDefault="00444A3E" w:rsidP="00DC2841">
      <w:pPr>
        <w:pStyle w:val="Ttulo1"/>
      </w:pPr>
      <w:bookmarkStart w:id="6" w:name="_Toc506988578"/>
      <w:r w:rsidRPr="00444A3E">
        <w:lastRenderedPageBreak/>
        <w:t>RESPUESTAS DE LAS OBSERVACIONES RECIBIDAS</w:t>
      </w:r>
      <w:bookmarkEnd w:id="6"/>
    </w:p>
    <w:p w14:paraId="19ADCCC5" w14:textId="77777777" w:rsidR="000B36BC" w:rsidRPr="000B36BC" w:rsidRDefault="000B36BC" w:rsidP="00DC2841">
      <w:pPr>
        <w:spacing w:after="0" w:line="240" w:lineRule="auto"/>
      </w:pPr>
    </w:p>
    <w:p w14:paraId="3B956886" w14:textId="77777777" w:rsidR="000B36BC" w:rsidRDefault="000B36BC" w:rsidP="00DC2841">
      <w:pPr>
        <w:spacing w:after="0" w:line="240" w:lineRule="auto"/>
        <w:jc w:val="both"/>
        <w:rPr>
          <w:rFonts w:ascii="Arial" w:hAnsi="Arial" w:cs="Arial"/>
          <w:sz w:val="20"/>
          <w:szCs w:val="20"/>
          <w:lang w:val="es-CO"/>
        </w:rPr>
      </w:pPr>
      <w:r w:rsidRPr="00097873">
        <w:rPr>
          <w:rFonts w:ascii="Arial" w:hAnsi="Arial" w:cs="Arial"/>
          <w:sz w:val="20"/>
          <w:szCs w:val="20"/>
          <w:lang w:val="es-CO"/>
        </w:rPr>
        <w:t>A continuación</w:t>
      </w:r>
      <w:r>
        <w:rPr>
          <w:rFonts w:ascii="Arial" w:hAnsi="Arial" w:cs="Arial"/>
          <w:sz w:val="20"/>
          <w:szCs w:val="20"/>
          <w:lang w:val="es-CO"/>
        </w:rPr>
        <w:t>,</w:t>
      </w:r>
      <w:r w:rsidRPr="00097873">
        <w:rPr>
          <w:rFonts w:ascii="Arial" w:hAnsi="Arial" w:cs="Arial"/>
          <w:sz w:val="20"/>
          <w:szCs w:val="20"/>
          <w:lang w:val="es-CO"/>
        </w:rPr>
        <w:t xml:space="preserve"> se encuentran numeradas las respuestas formuladas por ejes temáticos para cada una de las observaciones, reparos y sugerencias detalladas en el numeral 3 del presente documento:</w:t>
      </w:r>
    </w:p>
    <w:p w14:paraId="6DD7B70A" w14:textId="77777777" w:rsidR="007A4DBE" w:rsidRPr="00097873" w:rsidRDefault="007A4DBE" w:rsidP="00DC2841">
      <w:pPr>
        <w:spacing w:after="0" w:line="240" w:lineRule="auto"/>
        <w:jc w:val="both"/>
        <w:rPr>
          <w:rFonts w:ascii="Arial" w:hAnsi="Arial" w:cs="Arial"/>
          <w:sz w:val="20"/>
          <w:szCs w:val="20"/>
          <w:lang w:val="es-MX"/>
        </w:rPr>
      </w:pPr>
    </w:p>
    <w:p w14:paraId="0795FD16" w14:textId="77777777" w:rsidR="000B36BC" w:rsidRPr="00097873" w:rsidRDefault="000B36BC" w:rsidP="00DC2841">
      <w:pPr>
        <w:spacing w:after="0" w:line="240" w:lineRule="auto"/>
        <w:jc w:val="both"/>
        <w:rPr>
          <w:rFonts w:ascii="Arial" w:hAnsi="Arial" w:cs="Arial"/>
          <w:sz w:val="20"/>
          <w:szCs w:val="20"/>
          <w:lang w:val="es-MX"/>
        </w:rPr>
      </w:pPr>
    </w:p>
    <w:p w14:paraId="201AF19D" w14:textId="77777777" w:rsidR="000B36BC" w:rsidRPr="00097873" w:rsidRDefault="007A4DBE" w:rsidP="00DC2841">
      <w:pPr>
        <w:pStyle w:val="Ttulo2"/>
        <w:rPr>
          <w:lang w:val="es-CO" w:eastAsia="es-CO"/>
        </w:rPr>
      </w:pPr>
      <w:bookmarkStart w:id="7" w:name="_Toc439925576"/>
      <w:bookmarkStart w:id="8" w:name="_Toc439925929"/>
      <w:bookmarkStart w:id="9" w:name="_Toc461615076"/>
      <w:bookmarkStart w:id="10" w:name="_Toc506988579"/>
      <w:r>
        <w:t>RESPUESTA No.</w:t>
      </w:r>
      <w:r w:rsidR="000B36BC" w:rsidRPr="00097873">
        <w:fldChar w:fldCharType="begin"/>
      </w:r>
      <w:r w:rsidR="000B36BC" w:rsidRPr="00097873">
        <w:instrText xml:space="preserve"> SEQ RESPUESTA_N. \* ARABIC </w:instrText>
      </w:r>
      <w:r w:rsidR="000B36BC" w:rsidRPr="00097873">
        <w:fldChar w:fldCharType="separate"/>
      </w:r>
      <w:r w:rsidR="000B36BC" w:rsidRPr="00097873">
        <w:rPr>
          <w:noProof/>
        </w:rPr>
        <w:t>1</w:t>
      </w:r>
      <w:r w:rsidR="000B36BC" w:rsidRPr="00097873">
        <w:fldChar w:fldCharType="end"/>
      </w:r>
      <w:r w:rsidR="000B36BC" w:rsidRPr="00097873">
        <w:t xml:space="preserve">.  </w:t>
      </w:r>
      <w:bookmarkEnd w:id="7"/>
      <w:bookmarkEnd w:id="8"/>
      <w:bookmarkEnd w:id="9"/>
      <w:r w:rsidR="005B5576" w:rsidRPr="005B5576">
        <w:t>INCLUSIÓN Y EXCLUSIÓN DE EMPRESAS DE LA MUESTRA</w:t>
      </w:r>
      <w:bookmarkEnd w:id="10"/>
    </w:p>
    <w:p w14:paraId="44B3C57D" w14:textId="77777777" w:rsidR="000B36BC" w:rsidRPr="00097873" w:rsidRDefault="000B36BC" w:rsidP="00DC2841">
      <w:pPr>
        <w:spacing w:after="0" w:line="240" w:lineRule="auto"/>
        <w:rPr>
          <w:rFonts w:ascii="Arial" w:hAnsi="Arial" w:cs="Arial"/>
          <w:sz w:val="20"/>
          <w:szCs w:val="20"/>
          <w:lang w:val="es-CO" w:eastAsia="es-CO"/>
        </w:rPr>
      </w:pPr>
    </w:p>
    <w:p w14:paraId="3FAC21C1" w14:textId="77777777" w:rsidR="00F232E0" w:rsidRPr="00F7314C" w:rsidRDefault="00F232E0" w:rsidP="007A4DBE">
      <w:pPr>
        <w:spacing w:after="0" w:line="240" w:lineRule="auto"/>
        <w:jc w:val="both"/>
        <w:rPr>
          <w:rFonts w:ascii="Arial" w:hAnsi="Arial" w:cs="Arial"/>
          <w:sz w:val="20"/>
          <w:szCs w:val="20"/>
          <w:lang w:val="es-CO" w:eastAsia="es-CO"/>
        </w:rPr>
      </w:pPr>
      <w:r w:rsidRPr="00F7314C">
        <w:rPr>
          <w:rFonts w:ascii="Arial" w:hAnsi="Arial" w:cs="Arial"/>
          <w:sz w:val="20"/>
          <w:szCs w:val="20"/>
          <w:lang w:val="es-CO" w:eastAsia="es-CO"/>
        </w:rPr>
        <w:t xml:space="preserve">Para modificar, adicionar y aclarar la Resolución CRA 688 de 2014, esta Comisión de Regulación expidió la Resolución CRA 735 de 2015, publicada en el Diario Oficial 49.730 de 18 de diciembre de 2015 y en la cual, por medio del artículo 47, se modifica y adiciona el Anexo II de la Resolución CRA 688 de 2014; estableciendo que la metodología para determinar el </w:t>
      </w:r>
      <w:r>
        <w:rPr>
          <w:rFonts w:ascii="Arial" w:hAnsi="Arial" w:cs="Arial"/>
          <w:sz w:val="20"/>
          <w:szCs w:val="20"/>
          <w:lang w:val="es-CO" w:eastAsia="es-CO"/>
        </w:rPr>
        <w:t>P</w:t>
      </w:r>
      <w:r w:rsidRPr="00F7314C">
        <w:rPr>
          <w:rFonts w:ascii="Arial" w:hAnsi="Arial" w:cs="Arial"/>
          <w:sz w:val="20"/>
          <w:szCs w:val="20"/>
          <w:lang w:val="es-CO" w:eastAsia="es-CO"/>
        </w:rPr>
        <w:t xml:space="preserve">untaje de </w:t>
      </w:r>
      <w:r>
        <w:rPr>
          <w:rFonts w:ascii="Arial" w:hAnsi="Arial" w:cs="Arial"/>
          <w:sz w:val="20"/>
          <w:szCs w:val="20"/>
          <w:lang w:val="es-CO" w:eastAsia="es-CO"/>
        </w:rPr>
        <w:t>E</w:t>
      </w:r>
      <w:r w:rsidRPr="00F7314C">
        <w:rPr>
          <w:rFonts w:ascii="Arial" w:hAnsi="Arial" w:cs="Arial"/>
          <w:sz w:val="20"/>
          <w:szCs w:val="20"/>
          <w:lang w:val="es-CO" w:eastAsia="es-CO"/>
        </w:rPr>
        <w:t xml:space="preserve">ficiencia </w:t>
      </w:r>
      <w:r>
        <w:rPr>
          <w:rFonts w:ascii="Arial" w:hAnsi="Arial" w:cs="Arial"/>
          <w:sz w:val="20"/>
          <w:szCs w:val="20"/>
          <w:lang w:val="es-CO" w:eastAsia="es-CO"/>
        </w:rPr>
        <w:t>C</w:t>
      </w:r>
      <w:r w:rsidRPr="00F7314C">
        <w:rPr>
          <w:rFonts w:ascii="Arial" w:hAnsi="Arial" w:cs="Arial"/>
          <w:sz w:val="20"/>
          <w:szCs w:val="20"/>
          <w:lang w:val="es-CO" w:eastAsia="es-CO"/>
        </w:rPr>
        <w:t xml:space="preserve">omparativa </w:t>
      </w:r>
      <w:r>
        <w:rPr>
          <w:rFonts w:ascii="Arial" w:hAnsi="Arial" w:cs="Arial"/>
          <w:sz w:val="20"/>
          <w:szCs w:val="20"/>
          <w:lang w:val="es-CO" w:eastAsia="es-CO"/>
        </w:rPr>
        <w:t xml:space="preserve"> DEA - </w:t>
      </w:r>
      <w:r w:rsidRPr="00761DD5">
        <w:rPr>
          <w:rFonts w:ascii="Arial" w:hAnsi="Arial" w:cs="Arial"/>
          <w:sz w:val="20"/>
          <w:szCs w:val="20"/>
          <w:lang w:val="es-CO" w:eastAsia="es-CO"/>
        </w:rPr>
        <w:t>P</w:t>
      </w:r>
      <w:r w:rsidRPr="00761DD5">
        <w:rPr>
          <w:rFonts w:ascii="Arial" w:hAnsi="Arial" w:cs="Arial"/>
          <w:sz w:val="20"/>
          <w:szCs w:val="20"/>
          <w:vertAlign w:val="subscript"/>
          <w:lang w:val="es-CO" w:eastAsia="es-CO"/>
        </w:rPr>
        <w:t>DEA</w:t>
      </w:r>
      <w:r w:rsidRPr="00761DD5">
        <w:rPr>
          <w:rFonts w:ascii="Arial" w:hAnsi="Arial" w:cs="Arial"/>
          <w:sz w:val="20"/>
          <w:szCs w:val="20"/>
          <w:lang w:val="es-CO" w:eastAsia="es-CO"/>
        </w:rPr>
        <w:t xml:space="preserve"> </w:t>
      </w:r>
      <w:r w:rsidRPr="00F7314C">
        <w:rPr>
          <w:rFonts w:ascii="Arial" w:hAnsi="Arial" w:cs="Arial"/>
          <w:sz w:val="20"/>
          <w:szCs w:val="20"/>
          <w:lang w:val="es-CO" w:eastAsia="es-CO"/>
        </w:rPr>
        <w:t xml:space="preserve">de los costos administrativos y operativos comparables será el Análisis de la Envolvente de Datos (DEA: Data Envelopment Analysis), el cual aplica en las APS pertenecientes al primer segmento y en las APS en las que opten por aplicar la metodología del primer segmento. En la expedición de la </w:t>
      </w:r>
      <w:r>
        <w:rPr>
          <w:rFonts w:ascii="Arial" w:hAnsi="Arial" w:cs="Arial"/>
          <w:sz w:val="20"/>
          <w:szCs w:val="20"/>
          <w:lang w:val="es-CO" w:eastAsia="es-CO"/>
        </w:rPr>
        <w:t>R</w:t>
      </w:r>
      <w:r w:rsidRPr="00F7314C">
        <w:rPr>
          <w:rFonts w:ascii="Arial" w:hAnsi="Arial" w:cs="Arial"/>
          <w:sz w:val="20"/>
          <w:szCs w:val="20"/>
          <w:lang w:val="es-CO" w:eastAsia="es-CO"/>
        </w:rPr>
        <w:t>esolución se tuvieron en cuenta las observaciones recibidas dentro del proceso de participación ciu</w:t>
      </w:r>
      <w:r>
        <w:rPr>
          <w:rFonts w:ascii="Arial" w:hAnsi="Arial" w:cs="Arial"/>
          <w:sz w:val="20"/>
          <w:szCs w:val="20"/>
          <w:lang w:val="es-CO" w:eastAsia="es-CO"/>
        </w:rPr>
        <w:t>dadana otorgado al proyecto de R</w:t>
      </w:r>
      <w:r w:rsidRPr="00F7314C">
        <w:rPr>
          <w:rFonts w:ascii="Arial" w:hAnsi="Arial" w:cs="Arial"/>
          <w:sz w:val="20"/>
          <w:szCs w:val="20"/>
          <w:lang w:val="es-CO" w:eastAsia="es-CO"/>
        </w:rPr>
        <w:t>esolución contenido en la Resolución CRA 712 de 2015.</w:t>
      </w:r>
    </w:p>
    <w:p w14:paraId="4997BEAE" w14:textId="77777777" w:rsidR="00F232E0" w:rsidRPr="00F7314C" w:rsidRDefault="00F232E0" w:rsidP="00DC2841">
      <w:pPr>
        <w:tabs>
          <w:tab w:val="left" w:pos="2850"/>
        </w:tabs>
        <w:spacing w:after="0" w:line="240" w:lineRule="auto"/>
        <w:ind w:right="18"/>
        <w:jc w:val="both"/>
        <w:rPr>
          <w:rFonts w:ascii="Arial" w:hAnsi="Arial" w:cs="Arial"/>
          <w:sz w:val="20"/>
          <w:szCs w:val="20"/>
          <w:lang w:eastAsia="zh-CN"/>
        </w:rPr>
      </w:pPr>
    </w:p>
    <w:p w14:paraId="5D7B03AF" w14:textId="77777777" w:rsidR="00F232E0" w:rsidRPr="00F7314C" w:rsidRDefault="00F232E0" w:rsidP="00DC2841">
      <w:pPr>
        <w:spacing w:after="0" w:line="240" w:lineRule="auto"/>
        <w:ind w:right="49"/>
        <w:jc w:val="both"/>
        <w:rPr>
          <w:rFonts w:ascii="Arial" w:hAnsi="Arial" w:cs="Arial"/>
          <w:i/>
          <w:sz w:val="20"/>
          <w:szCs w:val="20"/>
          <w:lang w:val="es-CO"/>
        </w:rPr>
      </w:pPr>
      <w:r w:rsidRPr="00F7314C">
        <w:rPr>
          <w:rFonts w:ascii="Arial" w:hAnsi="Arial" w:cs="Arial"/>
          <w:sz w:val="20"/>
          <w:szCs w:val="20"/>
          <w:lang w:val="es-CO"/>
        </w:rPr>
        <w:t>Igualmente, por medio de los</w:t>
      </w:r>
      <w:r w:rsidRPr="00F7314C">
        <w:rPr>
          <w:rFonts w:ascii="Arial" w:hAnsi="Arial" w:cs="Arial"/>
          <w:sz w:val="20"/>
          <w:szCs w:val="20"/>
        </w:rPr>
        <w:t xml:space="preserve"> artículo</w:t>
      </w:r>
      <w:r w:rsidRPr="00F7314C">
        <w:rPr>
          <w:rFonts w:ascii="Arial" w:hAnsi="Arial" w:cs="Arial"/>
          <w:sz w:val="20"/>
          <w:szCs w:val="20"/>
          <w:lang w:val="es-CO"/>
        </w:rPr>
        <w:t>s</w:t>
      </w:r>
      <w:r w:rsidRPr="00F7314C">
        <w:rPr>
          <w:rFonts w:ascii="Arial" w:hAnsi="Arial" w:cs="Arial"/>
          <w:sz w:val="20"/>
          <w:szCs w:val="20"/>
        </w:rPr>
        <w:t xml:space="preserve"> 10 </w:t>
      </w:r>
      <w:r w:rsidRPr="00F7314C">
        <w:rPr>
          <w:rFonts w:ascii="Arial" w:hAnsi="Arial" w:cs="Arial"/>
          <w:sz w:val="20"/>
          <w:szCs w:val="20"/>
          <w:lang w:val="es-CO"/>
        </w:rPr>
        <w:t xml:space="preserve">y 13 </w:t>
      </w:r>
      <w:r w:rsidRPr="00F7314C">
        <w:rPr>
          <w:rFonts w:ascii="Arial" w:hAnsi="Arial" w:cs="Arial"/>
          <w:sz w:val="20"/>
          <w:szCs w:val="20"/>
        </w:rPr>
        <w:t xml:space="preserve">de la Resolución </w:t>
      </w:r>
      <w:r w:rsidRPr="00F7314C">
        <w:rPr>
          <w:rFonts w:ascii="Arial" w:hAnsi="Arial" w:cs="Arial"/>
          <w:sz w:val="20"/>
          <w:szCs w:val="20"/>
          <w:lang w:val="es-CO"/>
        </w:rPr>
        <w:t>CRA 735 de 2015 se adiciona el parágrafo 7</w:t>
      </w:r>
      <w:r w:rsidRPr="00F7314C">
        <w:rPr>
          <w:rFonts w:ascii="Arial" w:hAnsi="Arial" w:cs="Arial"/>
          <w:sz w:val="20"/>
          <w:szCs w:val="20"/>
          <w:lang w:val="es-MX" w:eastAsia="zh-CN"/>
        </w:rPr>
        <w:t xml:space="preserve"> </w:t>
      </w:r>
      <w:r w:rsidRPr="00F7314C">
        <w:rPr>
          <w:rFonts w:ascii="Arial" w:hAnsi="Arial" w:cs="Arial"/>
          <w:sz w:val="20"/>
          <w:szCs w:val="20"/>
          <w:lang w:val="es-CO"/>
        </w:rPr>
        <w:t xml:space="preserve">de los artículos 26 y 33 de la Resolución CRA 688 de 2014, que establece que: </w:t>
      </w:r>
      <w:r w:rsidRPr="00F7314C">
        <w:rPr>
          <w:rFonts w:ascii="Arial" w:hAnsi="Arial" w:cs="Arial"/>
          <w:i/>
          <w:sz w:val="20"/>
          <w:szCs w:val="20"/>
          <w:lang w:val="es-CO"/>
        </w:rPr>
        <w:t>“las personas prestadoras que cuenten con APS del primer segmento y/o con APS en las que optaron por aplicar la metodología correspondiente al primer segmento dando cumplimiento a lo establecido en los parágrafos 3 o 4 del ARTÍCULO 104 de la presente resolución, deberán aplicar el P</w:t>
      </w:r>
      <w:r w:rsidRPr="00F7314C">
        <w:rPr>
          <w:rFonts w:ascii="Arial" w:hAnsi="Arial" w:cs="Arial"/>
          <w:i/>
          <w:sz w:val="20"/>
          <w:szCs w:val="20"/>
          <w:vertAlign w:val="subscript"/>
          <w:lang w:val="es-CO"/>
        </w:rPr>
        <w:t>DEA</w:t>
      </w:r>
      <w:r w:rsidRPr="00F7314C">
        <w:rPr>
          <w:rFonts w:ascii="Arial" w:hAnsi="Arial" w:cs="Arial"/>
          <w:i/>
          <w:sz w:val="20"/>
          <w:szCs w:val="20"/>
          <w:lang w:val="es-CO"/>
        </w:rPr>
        <w:t xml:space="preserve"> utilizado para el cálculo de las tarifas de la Resolución CRA 287 de 2004 en la fórmula del presente artículo, hasta tanto la CRA informe mediante resolución si se aplicó el modelo del DEA, los puntajes definitivos así como la fecha a partir de la cual regirán o si los prestadores deberán aplicar lo establecido en los parágrafos 3 o 4 del presente artículo, según corresponda”.</w:t>
      </w:r>
    </w:p>
    <w:p w14:paraId="53492EAF" w14:textId="77777777" w:rsidR="00F232E0" w:rsidRPr="00F7314C" w:rsidRDefault="00F232E0" w:rsidP="00DC2841">
      <w:pPr>
        <w:spacing w:after="0" w:line="240" w:lineRule="auto"/>
        <w:jc w:val="both"/>
        <w:rPr>
          <w:rFonts w:ascii="Arial" w:hAnsi="Arial" w:cs="Arial"/>
          <w:sz w:val="20"/>
          <w:szCs w:val="20"/>
          <w:lang w:eastAsia="zh-CN"/>
        </w:rPr>
      </w:pPr>
    </w:p>
    <w:p w14:paraId="3990CECF" w14:textId="77777777" w:rsidR="00F232E0" w:rsidRPr="00F7314C" w:rsidRDefault="00F232E0" w:rsidP="00DC2841">
      <w:pPr>
        <w:spacing w:after="0" w:line="240" w:lineRule="auto"/>
        <w:jc w:val="both"/>
        <w:rPr>
          <w:rFonts w:ascii="Arial" w:hAnsi="Arial" w:cs="Arial"/>
          <w:i/>
          <w:sz w:val="20"/>
          <w:szCs w:val="20"/>
          <w:lang w:val="es-MX" w:eastAsia="zh-CN"/>
        </w:rPr>
      </w:pPr>
      <w:r w:rsidRPr="00F7314C">
        <w:rPr>
          <w:rFonts w:ascii="Arial" w:hAnsi="Arial" w:cs="Arial"/>
          <w:sz w:val="20"/>
          <w:szCs w:val="20"/>
          <w:lang w:val="es-CO" w:eastAsia="zh-CN"/>
        </w:rPr>
        <w:t>Así mismo, en el numeral 7 del Anexo II</w:t>
      </w:r>
      <w:r w:rsidRPr="007162F2">
        <w:rPr>
          <w:rFonts w:ascii="Arial" w:hAnsi="Arial" w:cs="Arial"/>
          <w:sz w:val="20"/>
          <w:szCs w:val="20"/>
          <w:lang w:val="es-CO" w:eastAsia="es-CO"/>
        </w:rPr>
        <w:t xml:space="preserve"> </w:t>
      </w:r>
      <w:r w:rsidRPr="00F7314C">
        <w:rPr>
          <w:rFonts w:ascii="Arial" w:hAnsi="Arial" w:cs="Arial"/>
          <w:sz w:val="20"/>
          <w:szCs w:val="20"/>
          <w:lang w:val="es-CO" w:eastAsia="es-CO"/>
        </w:rPr>
        <w:t>de la Resolución CRA 688 de 2014</w:t>
      </w:r>
      <w:r w:rsidRPr="00F7314C">
        <w:rPr>
          <w:rFonts w:ascii="Arial" w:hAnsi="Arial" w:cs="Arial"/>
          <w:sz w:val="20"/>
          <w:szCs w:val="20"/>
          <w:lang w:val="es-CO" w:eastAsia="zh-CN"/>
        </w:rPr>
        <w:t>, se estableció el plazo para el reporte de información cargada en el SUI por parte de las personas prestadoras, señalando que “</w:t>
      </w:r>
      <w:r w:rsidRPr="00F7314C">
        <w:rPr>
          <w:rFonts w:ascii="Arial" w:hAnsi="Arial" w:cs="Arial"/>
          <w:i/>
          <w:sz w:val="20"/>
          <w:szCs w:val="20"/>
          <w:lang w:val="es-ES_tradnl"/>
        </w:rPr>
        <w:t xml:space="preserve">Las personas prestadoras de los servicios públicos domiciliarios de acueducto y alcantarillado con APS del primer segmento y aquellas con APS del segundo segmento que opten por aplicar la metodología del primer segmento, </w:t>
      </w:r>
      <w:r w:rsidRPr="00F7314C">
        <w:rPr>
          <w:rFonts w:ascii="Arial" w:hAnsi="Arial" w:cs="Arial"/>
          <w:i/>
          <w:sz w:val="20"/>
          <w:szCs w:val="20"/>
          <w:u w:val="single"/>
          <w:lang w:val="es-ES_tradnl"/>
        </w:rPr>
        <w:t xml:space="preserve">cuentan con un plazo de un (1) mes contado a partir de la publicación en el Diario Oficial de la presente resolución modificatoria de la Resolución CRA 688 de 2014 para revisar la totalidad de la información cargada al SUI descrita anteriormente. </w:t>
      </w:r>
      <w:r w:rsidRPr="00F7314C">
        <w:rPr>
          <w:rFonts w:ascii="Arial" w:hAnsi="Arial" w:cs="Arial"/>
          <w:i/>
          <w:sz w:val="20"/>
          <w:szCs w:val="20"/>
          <w:lang w:val="es-ES_tradnl"/>
        </w:rPr>
        <w:t>Una vez vencido este plazo de un (1) mes la SSPD enviará un archivo Excel con el reporte de costos administrativos y operativos comparables para los años 2013 y 2014. Dicha información deberá ser remitida mediante comunicación suscrita por el representante legal de la empresa en un plazo de cinco (5) días hábiles contados a partir de la fecha de recibo del archivo Excel.”</w:t>
      </w:r>
      <w:r w:rsidRPr="00F7314C">
        <w:rPr>
          <w:rFonts w:ascii="Arial" w:hAnsi="Arial" w:cs="Arial"/>
          <w:sz w:val="20"/>
          <w:szCs w:val="20"/>
          <w:lang w:val="es-ES_tradnl"/>
        </w:rPr>
        <w:t xml:space="preserve"> (Subrayado fuera de texto original).</w:t>
      </w:r>
    </w:p>
    <w:p w14:paraId="035AAFDF" w14:textId="77777777" w:rsidR="00F232E0" w:rsidRPr="00F7314C" w:rsidRDefault="00F232E0" w:rsidP="00DC2841">
      <w:pPr>
        <w:spacing w:after="0" w:line="240" w:lineRule="auto"/>
        <w:ind w:left="851" w:right="851"/>
        <w:jc w:val="both"/>
        <w:rPr>
          <w:rFonts w:ascii="Arial" w:hAnsi="Arial" w:cs="Arial"/>
          <w:i/>
          <w:sz w:val="20"/>
          <w:szCs w:val="20"/>
          <w:lang w:val="es-MX" w:eastAsia="zh-CN"/>
        </w:rPr>
      </w:pPr>
    </w:p>
    <w:p w14:paraId="4919BB3A" w14:textId="77777777" w:rsidR="00F232E0" w:rsidRPr="00F7314C" w:rsidRDefault="00F232E0" w:rsidP="00DC2841">
      <w:pPr>
        <w:tabs>
          <w:tab w:val="left" w:pos="2850"/>
        </w:tabs>
        <w:spacing w:after="0" w:line="240" w:lineRule="auto"/>
        <w:ind w:right="18"/>
        <w:jc w:val="both"/>
        <w:rPr>
          <w:rFonts w:ascii="Arial" w:hAnsi="Arial" w:cs="Arial"/>
          <w:sz w:val="20"/>
          <w:szCs w:val="20"/>
          <w:lang w:eastAsia="zh-CN"/>
        </w:rPr>
      </w:pPr>
      <w:r w:rsidRPr="00F7314C">
        <w:rPr>
          <w:rFonts w:ascii="Arial" w:hAnsi="Arial" w:cs="Arial"/>
          <w:sz w:val="20"/>
          <w:szCs w:val="20"/>
          <w:lang w:eastAsia="zh-CN"/>
        </w:rPr>
        <w:t xml:space="preserve">Este plazo se contabilizó a partir del 18 de diciembre de 2015, fecha de publicación en el Diario Oficial No. 49.730 de la Resolución CRA 735 de 2015, </w:t>
      </w:r>
      <w:r>
        <w:rPr>
          <w:rFonts w:ascii="Arial" w:hAnsi="Arial" w:cs="Arial"/>
          <w:sz w:val="20"/>
          <w:szCs w:val="20"/>
          <w:lang w:eastAsia="zh-CN"/>
        </w:rPr>
        <w:t>expedida el</w:t>
      </w:r>
      <w:r w:rsidRPr="00F7314C">
        <w:rPr>
          <w:rFonts w:ascii="Arial" w:hAnsi="Arial" w:cs="Arial"/>
          <w:sz w:val="20"/>
          <w:szCs w:val="20"/>
          <w:lang w:val="es-MX" w:eastAsia="zh-CN"/>
        </w:rPr>
        <w:t xml:space="preserve"> 9 de diciembre del año 2015</w:t>
      </w:r>
      <w:r w:rsidRPr="00F7314C">
        <w:rPr>
          <w:rFonts w:ascii="Arial" w:hAnsi="Arial" w:cs="Arial"/>
          <w:sz w:val="20"/>
          <w:szCs w:val="20"/>
          <w:lang w:eastAsia="zh-CN"/>
        </w:rPr>
        <w:t>; y en razón a lo anterior, dicho plaz</w:t>
      </w:r>
      <w:r>
        <w:rPr>
          <w:rFonts w:ascii="Arial" w:hAnsi="Arial" w:cs="Arial"/>
          <w:sz w:val="20"/>
          <w:szCs w:val="20"/>
          <w:lang w:eastAsia="zh-CN"/>
        </w:rPr>
        <w:t>o venció el 18 de enero de 2016</w:t>
      </w:r>
      <w:r w:rsidRPr="00F7314C">
        <w:rPr>
          <w:rFonts w:ascii="Arial" w:hAnsi="Arial" w:cs="Arial"/>
          <w:sz w:val="20"/>
          <w:szCs w:val="20"/>
          <w:lang w:eastAsia="zh-CN"/>
        </w:rPr>
        <w:t>.</w:t>
      </w:r>
    </w:p>
    <w:p w14:paraId="7B308944" w14:textId="77777777" w:rsidR="00F232E0" w:rsidRPr="00F7314C" w:rsidRDefault="00F232E0" w:rsidP="00DC2841">
      <w:pPr>
        <w:tabs>
          <w:tab w:val="left" w:pos="2850"/>
        </w:tabs>
        <w:spacing w:after="0" w:line="240" w:lineRule="auto"/>
        <w:ind w:right="18"/>
        <w:jc w:val="both"/>
        <w:rPr>
          <w:rFonts w:ascii="Arial" w:hAnsi="Arial" w:cs="Arial"/>
          <w:sz w:val="20"/>
          <w:szCs w:val="20"/>
          <w:lang w:eastAsia="zh-CN"/>
        </w:rPr>
      </w:pPr>
    </w:p>
    <w:p w14:paraId="100EF6CF" w14:textId="77777777" w:rsidR="00F232E0" w:rsidRPr="00F7314C" w:rsidRDefault="00F232E0" w:rsidP="00DC2841">
      <w:pPr>
        <w:spacing w:after="0" w:line="240" w:lineRule="auto"/>
        <w:jc w:val="both"/>
        <w:rPr>
          <w:rFonts w:ascii="Arial" w:hAnsi="Arial" w:cs="Arial"/>
          <w:sz w:val="20"/>
          <w:szCs w:val="20"/>
          <w:lang w:val="es-MX" w:eastAsia="zh-CN"/>
        </w:rPr>
      </w:pPr>
      <w:r w:rsidRPr="00F7314C">
        <w:rPr>
          <w:rFonts w:ascii="Arial" w:hAnsi="Arial" w:cs="Arial"/>
          <w:sz w:val="20"/>
          <w:szCs w:val="20"/>
          <w:lang w:val="es-MX" w:eastAsia="zh-CN"/>
        </w:rPr>
        <w:t xml:space="preserve">De igual forma, </w:t>
      </w:r>
      <w:r>
        <w:rPr>
          <w:rFonts w:ascii="Arial" w:hAnsi="Arial" w:cs="Arial"/>
          <w:sz w:val="20"/>
          <w:szCs w:val="20"/>
          <w:lang w:val="es-MX" w:eastAsia="zh-CN"/>
        </w:rPr>
        <w:t>por medio d</w:t>
      </w:r>
      <w:r w:rsidRPr="00F7314C">
        <w:rPr>
          <w:rFonts w:ascii="Arial" w:hAnsi="Arial" w:cs="Arial"/>
          <w:sz w:val="20"/>
          <w:szCs w:val="20"/>
          <w:lang w:val="es-MX" w:eastAsia="zh-CN"/>
        </w:rPr>
        <w:t>el parágrafo 3</w:t>
      </w:r>
      <w:r w:rsidRPr="00F7314C">
        <w:rPr>
          <w:rFonts w:ascii="Arial" w:hAnsi="Arial" w:cs="Arial"/>
          <w:sz w:val="20"/>
          <w:szCs w:val="20"/>
          <w:vertAlign w:val="superscript"/>
          <w:lang w:val="es-MX" w:eastAsia="zh-CN"/>
        </w:rPr>
        <w:footnoteReference w:id="1"/>
      </w:r>
      <w:r w:rsidRPr="00F7314C">
        <w:rPr>
          <w:rFonts w:ascii="Arial" w:hAnsi="Arial" w:cs="Arial"/>
          <w:sz w:val="20"/>
          <w:szCs w:val="20"/>
          <w:lang w:val="es-MX" w:eastAsia="zh-CN"/>
        </w:rPr>
        <w:t xml:space="preserve"> de los artículos 26 y 33 de la Resolución CRA 688 de 2014, se indicó que la CRA evaluaría la información reportada por las personas prestadoras relacionadas en el numeral 8 del Anexo II de la</w:t>
      </w:r>
      <w:r>
        <w:rPr>
          <w:rFonts w:ascii="Arial" w:hAnsi="Arial" w:cs="Arial"/>
          <w:sz w:val="20"/>
          <w:szCs w:val="20"/>
          <w:lang w:val="es-MX" w:eastAsia="zh-CN"/>
        </w:rPr>
        <w:t xml:space="preserve"> misma resolución</w:t>
      </w:r>
      <w:r w:rsidRPr="00F7314C">
        <w:rPr>
          <w:rFonts w:ascii="Arial" w:hAnsi="Arial" w:cs="Arial"/>
          <w:sz w:val="20"/>
          <w:szCs w:val="20"/>
          <w:lang w:val="es-MX" w:eastAsia="zh-CN"/>
        </w:rPr>
        <w:t>, con el fin de determinar el cumplimiento en el año base de los parámetros mínimos para la inclusión en el modelo y la no presentación de datos atípicos en la información reportada en el SUI para la serie de tiempo 2010</w:t>
      </w:r>
      <w:r>
        <w:rPr>
          <w:rFonts w:ascii="Arial" w:hAnsi="Arial" w:cs="Arial"/>
          <w:sz w:val="20"/>
          <w:szCs w:val="20"/>
          <w:lang w:val="es-MX" w:eastAsia="zh-CN"/>
        </w:rPr>
        <w:t xml:space="preserve"> </w:t>
      </w:r>
      <w:r w:rsidRPr="00F7314C">
        <w:rPr>
          <w:rFonts w:ascii="Arial" w:hAnsi="Arial" w:cs="Arial"/>
          <w:sz w:val="20"/>
          <w:szCs w:val="20"/>
          <w:lang w:val="es-MX" w:eastAsia="zh-CN"/>
        </w:rPr>
        <w:t>-</w:t>
      </w:r>
      <w:r>
        <w:rPr>
          <w:rFonts w:ascii="Arial" w:hAnsi="Arial" w:cs="Arial"/>
          <w:sz w:val="20"/>
          <w:szCs w:val="20"/>
          <w:lang w:val="es-MX" w:eastAsia="zh-CN"/>
        </w:rPr>
        <w:t xml:space="preserve"> </w:t>
      </w:r>
      <w:r w:rsidRPr="00F7314C">
        <w:rPr>
          <w:rFonts w:ascii="Arial" w:hAnsi="Arial" w:cs="Arial"/>
          <w:sz w:val="20"/>
          <w:szCs w:val="20"/>
          <w:lang w:val="es-MX" w:eastAsia="zh-CN"/>
        </w:rPr>
        <w:t>2014.</w:t>
      </w:r>
    </w:p>
    <w:p w14:paraId="291F157A" w14:textId="77777777" w:rsidR="00F232E0" w:rsidRPr="00F7314C" w:rsidRDefault="00F232E0" w:rsidP="00DC2841">
      <w:pPr>
        <w:spacing w:after="0" w:line="240" w:lineRule="auto"/>
        <w:jc w:val="both"/>
        <w:rPr>
          <w:rFonts w:ascii="Arial" w:hAnsi="Arial" w:cs="Arial"/>
          <w:sz w:val="20"/>
          <w:szCs w:val="20"/>
          <w:lang w:val="es-MX" w:eastAsia="zh-CN"/>
        </w:rPr>
      </w:pPr>
    </w:p>
    <w:p w14:paraId="2887BE97" w14:textId="77777777" w:rsidR="00F232E0" w:rsidRPr="00F7314C" w:rsidRDefault="00F232E0" w:rsidP="00DC2841">
      <w:pPr>
        <w:spacing w:after="0" w:line="240" w:lineRule="auto"/>
        <w:jc w:val="both"/>
        <w:rPr>
          <w:rFonts w:ascii="Arial" w:hAnsi="Arial" w:cs="Arial"/>
          <w:sz w:val="20"/>
          <w:szCs w:val="20"/>
          <w:lang w:val="es-MX" w:eastAsia="zh-CN"/>
        </w:rPr>
      </w:pPr>
      <w:r>
        <w:rPr>
          <w:rFonts w:ascii="Arial" w:hAnsi="Arial" w:cs="Arial"/>
          <w:sz w:val="20"/>
          <w:szCs w:val="20"/>
          <w:lang w:val="es-MX" w:eastAsia="zh-CN"/>
        </w:rPr>
        <w:t xml:space="preserve">En </w:t>
      </w:r>
      <w:r w:rsidRPr="00F7314C">
        <w:rPr>
          <w:rFonts w:ascii="Arial" w:hAnsi="Arial" w:cs="Arial"/>
          <w:sz w:val="20"/>
          <w:szCs w:val="20"/>
          <w:lang w:val="es-MX" w:eastAsia="zh-CN"/>
        </w:rPr>
        <w:t>el mismo parágrafo también se estableció que si el análisis indicaba que cinco (5) o más personas prestadoras cumplían con dichos requerimientos, se realizaría el cálculo del P</w:t>
      </w:r>
      <w:r w:rsidRPr="00F7314C">
        <w:rPr>
          <w:rFonts w:ascii="Arial" w:hAnsi="Arial" w:cs="Arial"/>
          <w:sz w:val="20"/>
          <w:szCs w:val="20"/>
          <w:vertAlign w:val="subscript"/>
          <w:lang w:val="es-MX" w:eastAsia="zh-CN"/>
        </w:rPr>
        <w:t>DEA</w:t>
      </w:r>
      <w:r w:rsidRPr="00F7314C">
        <w:rPr>
          <w:rFonts w:ascii="Arial" w:hAnsi="Arial" w:cs="Arial"/>
          <w:sz w:val="20"/>
          <w:szCs w:val="20"/>
          <w:lang w:val="es-MX" w:eastAsia="zh-CN"/>
        </w:rPr>
        <w:t xml:space="preserve"> y estas constituirán el grupo básico para </w:t>
      </w:r>
      <w:r w:rsidRPr="00F7314C">
        <w:rPr>
          <w:rFonts w:ascii="Arial" w:hAnsi="Arial" w:cs="Arial"/>
          <w:sz w:val="20"/>
          <w:szCs w:val="20"/>
          <w:lang w:val="es-MX" w:eastAsia="zh-CN"/>
        </w:rPr>
        <w:lastRenderedPageBreak/>
        <w:t>dicho cálculo. Si sólo entre una (1) y cuatro (4) personas prestadoras daban por satisfechos los requisitos de información, no se aplicaría la metodología del DEA; a éstas se les otorgaría un P</w:t>
      </w:r>
      <w:r w:rsidRPr="00F7314C">
        <w:rPr>
          <w:rFonts w:ascii="Arial" w:hAnsi="Arial" w:cs="Arial"/>
          <w:sz w:val="20"/>
          <w:szCs w:val="20"/>
          <w:vertAlign w:val="subscript"/>
          <w:lang w:val="es-MX" w:eastAsia="zh-CN"/>
        </w:rPr>
        <w:t>DEA</w:t>
      </w:r>
      <w:r w:rsidRPr="00F7314C">
        <w:rPr>
          <w:rFonts w:ascii="Arial" w:hAnsi="Arial" w:cs="Arial"/>
          <w:sz w:val="20"/>
          <w:szCs w:val="20"/>
          <w:lang w:val="es-MX" w:eastAsia="zh-CN"/>
        </w:rPr>
        <w:t xml:space="preserve"> del 100% y los menores costos administrativos y operativos comparables eficientes estándar por suscriptor mensual (CAU* y COU*) resultante de ellas, sería aplicado por las demás personas prestadoras que cuenten con APS en las que apliquen la metodología del primer segmento.</w:t>
      </w:r>
    </w:p>
    <w:p w14:paraId="7AA77574" w14:textId="77777777" w:rsidR="00F232E0" w:rsidRPr="00F7314C" w:rsidRDefault="00F232E0" w:rsidP="00DC2841">
      <w:pPr>
        <w:spacing w:after="0" w:line="240" w:lineRule="auto"/>
        <w:jc w:val="both"/>
        <w:rPr>
          <w:rFonts w:ascii="Arial" w:hAnsi="Arial" w:cs="Arial"/>
          <w:sz w:val="20"/>
          <w:szCs w:val="20"/>
          <w:lang w:val="es-MX" w:eastAsia="zh-CN"/>
        </w:rPr>
      </w:pPr>
    </w:p>
    <w:p w14:paraId="0551D1BD" w14:textId="77777777" w:rsidR="00F232E0" w:rsidRPr="00F7314C" w:rsidRDefault="00F232E0" w:rsidP="00DC2841">
      <w:pPr>
        <w:spacing w:after="0" w:line="240" w:lineRule="auto"/>
        <w:ind w:right="49"/>
        <w:jc w:val="both"/>
        <w:rPr>
          <w:rFonts w:ascii="Arial" w:hAnsi="Arial" w:cs="Arial"/>
          <w:i/>
          <w:sz w:val="20"/>
          <w:szCs w:val="20"/>
          <w:lang w:val="es-CO" w:eastAsia="es-CO"/>
        </w:rPr>
      </w:pPr>
      <w:r w:rsidRPr="00F7314C">
        <w:rPr>
          <w:rFonts w:ascii="Arial" w:hAnsi="Arial" w:cs="Arial"/>
          <w:sz w:val="20"/>
          <w:szCs w:val="20"/>
          <w:lang w:val="es-CO"/>
        </w:rPr>
        <w:t xml:space="preserve">Para </w:t>
      </w:r>
      <w:r w:rsidRPr="00F7314C">
        <w:rPr>
          <w:rFonts w:ascii="Arial" w:hAnsi="Arial" w:cs="Arial"/>
          <w:sz w:val="20"/>
          <w:szCs w:val="20"/>
        </w:rPr>
        <w:t xml:space="preserve">determinar la consistencia de la información reportada al SUI para el período 2010 - 2014 y como se explicó en la página 83 del documento de respuestas a las observaciones recibidas en el proceso de participación ciudadana de la Resolución CRA 712 de 2015, esta Comisión de Regulación revisó la existencia de datos atípicos, a través de un análisis de dispersión (caja de bigotes), es decir, </w:t>
      </w:r>
      <w:r w:rsidRPr="00F7314C">
        <w:rPr>
          <w:rFonts w:ascii="Arial" w:hAnsi="Arial" w:cs="Arial"/>
          <w:sz w:val="20"/>
          <w:szCs w:val="20"/>
          <w:lang w:val="es-CO" w:eastAsia="es-CO"/>
        </w:rPr>
        <w:t>aquellos datos que estaban por fuera del percentil 25 menos 1,5 veces el rango intercuartílico y del percentil 75 más 1,5 veces el rango intercuartílico, se calificaron como atípicos</w:t>
      </w:r>
      <w:r w:rsidRPr="00F7314C">
        <w:rPr>
          <w:rStyle w:val="Refdenotaalpie"/>
          <w:rFonts w:ascii="Arial" w:hAnsi="Arial" w:cs="Arial"/>
          <w:lang w:val="es-CO" w:eastAsia="es-CO"/>
        </w:rPr>
        <w:footnoteReference w:id="2"/>
      </w:r>
      <w:r w:rsidRPr="00F7314C">
        <w:rPr>
          <w:rFonts w:ascii="Arial" w:hAnsi="Arial" w:cs="Arial"/>
          <w:sz w:val="20"/>
          <w:szCs w:val="20"/>
          <w:lang w:val="es-CO" w:eastAsia="es-CO"/>
        </w:rPr>
        <w:t>.</w:t>
      </w:r>
      <w:r w:rsidRPr="00F7314C">
        <w:rPr>
          <w:rFonts w:ascii="Arial" w:hAnsi="Arial" w:cs="Arial"/>
          <w:i/>
          <w:sz w:val="20"/>
          <w:szCs w:val="20"/>
          <w:lang w:val="es-CO" w:eastAsia="es-CO"/>
        </w:rPr>
        <w:t xml:space="preserve"> </w:t>
      </w:r>
      <w:r w:rsidRPr="00F7314C">
        <w:rPr>
          <w:rFonts w:ascii="Arial" w:hAnsi="Arial" w:cs="Arial"/>
          <w:sz w:val="20"/>
          <w:szCs w:val="20"/>
        </w:rPr>
        <w:t>Este criterio es concordante con la existencia de pocos datos sujetos de análisis y con la especificación del modelo de eficiencia comparativa DEA, pues el mismo es no paramétrico, de modo que no supone una distribución específica de los datos. Adicionalmente</w:t>
      </w:r>
      <w:r w:rsidRPr="00F7314C">
        <w:rPr>
          <w:rFonts w:ascii="Arial" w:hAnsi="Arial" w:cs="Arial"/>
          <w:sz w:val="20"/>
          <w:szCs w:val="20"/>
          <w:lang w:val="es-CO" w:eastAsia="es-CO"/>
        </w:rPr>
        <w:t>, se consideró que el no reporte de información en uno de los años de la serie configuraba un reporte insatisfactorio.</w:t>
      </w:r>
      <w:r w:rsidRPr="00F7314C" w:rsidDel="002C597C">
        <w:rPr>
          <w:rFonts w:ascii="Arial" w:hAnsi="Arial" w:cs="Arial"/>
          <w:sz w:val="20"/>
          <w:szCs w:val="20"/>
          <w:lang w:val="es-CO" w:eastAsia="es-CO"/>
        </w:rPr>
        <w:t xml:space="preserve"> </w:t>
      </w:r>
    </w:p>
    <w:p w14:paraId="2EE7F709" w14:textId="77777777" w:rsidR="00F232E0" w:rsidRPr="00F7314C" w:rsidRDefault="00F232E0" w:rsidP="00DC2841">
      <w:pPr>
        <w:spacing w:after="0" w:line="240" w:lineRule="auto"/>
        <w:jc w:val="both"/>
        <w:rPr>
          <w:rFonts w:ascii="Arial" w:hAnsi="Arial" w:cs="Arial"/>
          <w:sz w:val="20"/>
          <w:szCs w:val="20"/>
          <w:lang w:val="es-MX" w:eastAsia="zh-CN"/>
        </w:rPr>
      </w:pPr>
    </w:p>
    <w:p w14:paraId="13FCD0AA" w14:textId="77777777" w:rsidR="00F232E0" w:rsidRPr="00F7314C" w:rsidRDefault="00F232E0" w:rsidP="00DC2841">
      <w:pPr>
        <w:spacing w:after="0" w:line="240" w:lineRule="auto"/>
        <w:jc w:val="both"/>
        <w:rPr>
          <w:rFonts w:ascii="Arial" w:hAnsi="Arial" w:cs="Arial"/>
          <w:sz w:val="20"/>
          <w:szCs w:val="20"/>
          <w:lang w:val="es-MX" w:eastAsia="zh-CN"/>
        </w:rPr>
      </w:pPr>
      <w:r w:rsidRPr="00F7314C">
        <w:rPr>
          <w:rFonts w:ascii="Arial" w:hAnsi="Arial" w:cs="Arial"/>
          <w:sz w:val="20"/>
          <w:szCs w:val="20"/>
          <w:lang w:val="es-MX" w:eastAsia="zh-CN"/>
        </w:rPr>
        <w:t xml:space="preserve">En razón de lo anterior, una vez vencido el plazo señalado anteriormente esta Comisión de Regulación solicitó a la Superintendencia de Servicios Públicos Domiciliarios </w:t>
      </w:r>
      <w:r>
        <w:rPr>
          <w:rFonts w:ascii="Arial" w:hAnsi="Arial" w:cs="Arial"/>
          <w:sz w:val="20"/>
          <w:szCs w:val="20"/>
          <w:lang w:val="es-MX" w:eastAsia="zh-CN"/>
        </w:rPr>
        <w:t>-</w:t>
      </w:r>
      <w:r w:rsidRPr="00F7314C">
        <w:rPr>
          <w:rFonts w:ascii="Arial" w:hAnsi="Arial" w:cs="Arial"/>
          <w:sz w:val="20"/>
          <w:szCs w:val="20"/>
          <w:lang w:val="es-MX" w:eastAsia="zh-CN"/>
        </w:rPr>
        <w:t xml:space="preserve"> SSPD el envío de la información cargada por los prestadores con APS del primer segmento al SUI, información que fue recibida mediante comunicación con radicado CRA 2016-321-001312-2 de 19 de febrero de 2016, una vez la Superintendencia dio por finalizados los trámites de reversión solicitados por las empresas.</w:t>
      </w:r>
    </w:p>
    <w:p w14:paraId="64DDCCAB" w14:textId="77777777" w:rsidR="00F232E0" w:rsidRPr="00F7314C" w:rsidRDefault="00F232E0" w:rsidP="00DC2841">
      <w:pPr>
        <w:spacing w:after="0" w:line="240" w:lineRule="auto"/>
        <w:jc w:val="both"/>
        <w:rPr>
          <w:rFonts w:ascii="Arial" w:hAnsi="Arial" w:cs="Arial"/>
          <w:sz w:val="20"/>
          <w:szCs w:val="20"/>
          <w:lang w:val="es-MX" w:eastAsia="zh-CN"/>
        </w:rPr>
      </w:pPr>
    </w:p>
    <w:p w14:paraId="2C019DD4" w14:textId="77777777" w:rsidR="00F232E0" w:rsidRPr="00F7314C" w:rsidRDefault="00F232E0" w:rsidP="00DC2841">
      <w:pPr>
        <w:spacing w:after="0" w:line="240" w:lineRule="auto"/>
        <w:jc w:val="both"/>
        <w:rPr>
          <w:rFonts w:ascii="Arial" w:hAnsi="Arial" w:cs="Arial"/>
          <w:sz w:val="20"/>
          <w:szCs w:val="20"/>
          <w:lang w:val="es-MX" w:eastAsia="zh-CN"/>
        </w:rPr>
      </w:pPr>
      <w:r w:rsidRPr="00F7314C">
        <w:rPr>
          <w:rFonts w:ascii="Arial" w:hAnsi="Arial" w:cs="Arial"/>
          <w:sz w:val="20"/>
          <w:szCs w:val="20"/>
          <w:lang w:val="es-MX" w:eastAsia="zh-CN"/>
        </w:rPr>
        <w:t>Con base en la información remitida por la S</w:t>
      </w:r>
      <w:r>
        <w:rPr>
          <w:rFonts w:ascii="Arial" w:hAnsi="Arial" w:cs="Arial"/>
          <w:sz w:val="20"/>
          <w:szCs w:val="20"/>
          <w:lang w:val="es-MX" w:eastAsia="zh-CN"/>
        </w:rPr>
        <w:t>uperintendencia</w:t>
      </w:r>
      <w:r w:rsidRPr="00F7314C">
        <w:rPr>
          <w:rFonts w:ascii="Arial" w:hAnsi="Arial" w:cs="Arial"/>
          <w:sz w:val="20"/>
          <w:szCs w:val="20"/>
          <w:lang w:val="es-MX" w:eastAsia="zh-CN"/>
        </w:rPr>
        <w:t xml:space="preserve">, la CRA surtió el proceso de revisión y análisis de la información cargada al Sistema Único de Información </w:t>
      </w:r>
      <w:r>
        <w:rPr>
          <w:rFonts w:ascii="Arial" w:hAnsi="Arial" w:cs="Arial"/>
          <w:sz w:val="20"/>
          <w:szCs w:val="20"/>
          <w:lang w:val="es-MX" w:eastAsia="zh-CN"/>
        </w:rPr>
        <w:t>-</w:t>
      </w:r>
      <w:r w:rsidRPr="00F7314C">
        <w:rPr>
          <w:rFonts w:ascii="Arial" w:hAnsi="Arial" w:cs="Arial"/>
          <w:sz w:val="20"/>
          <w:szCs w:val="20"/>
          <w:lang w:val="es-MX" w:eastAsia="zh-CN"/>
        </w:rPr>
        <w:t xml:space="preserve"> SUI, concluyendo que ninguna de las personas prestadoras listadas en el numeral 8 del Anexo II de la Resolución CRA 688 de 2014, cumplía con los parámetros mínimos de inclusión y con la no presentación de datos atípicos en la información reportada para la serie de tiempo 2010 </w:t>
      </w:r>
      <w:r>
        <w:rPr>
          <w:rFonts w:ascii="Arial" w:hAnsi="Arial" w:cs="Arial"/>
          <w:sz w:val="20"/>
          <w:szCs w:val="20"/>
          <w:lang w:val="es-MX" w:eastAsia="zh-CN"/>
        </w:rPr>
        <w:t>– 2014.</w:t>
      </w:r>
    </w:p>
    <w:p w14:paraId="5510A275" w14:textId="77777777" w:rsidR="00F232E0" w:rsidRPr="00F7314C" w:rsidRDefault="00F232E0" w:rsidP="00DC2841">
      <w:pPr>
        <w:spacing w:after="0" w:line="240" w:lineRule="auto"/>
        <w:jc w:val="both"/>
        <w:rPr>
          <w:rFonts w:ascii="Arial" w:hAnsi="Arial" w:cs="Arial"/>
          <w:sz w:val="20"/>
          <w:szCs w:val="20"/>
          <w:lang w:val="es-MX" w:eastAsia="zh-CN"/>
        </w:rPr>
      </w:pPr>
    </w:p>
    <w:p w14:paraId="7A35578A" w14:textId="77777777" w:rsidR="00F232E0" w:rsidRPr="00F7314C" w:rsidRDefault="00F232E0" w:rsidP="00DC2841">
      <w:pPr>
        <w:pStyle w:val="Textocomentario"/>
        <w:spacing w:after="0" w:line="240" w:lineRule="auto"/>
        <w:jc w:val="both"/>
        <w:rPr>
          <w:rFonts w:ascii="Arial" w:hAnsi="Arial" w:cs="Arial"/>
          <w:lang w:val="es-CO"/>
        </w:rPr>
      </w:pPr>
      <w:r>
        <w:rPr>
          <w:rFonts w:ascii="Arial" w:hAnsi="Arial" w:cs="Arial"/>
          <w:lang w:val="es-CO"/>
        </w:rPr>
        <w:t>T</w:t>
      </w:r>
      <w:r w:rsidRPr="00F7314C">
        <w:rPr>
          <w:rFonts w:ascii="Arial" w:hAnsi="Arial" w:cs="Arial"/>
          <w:lang w:val="es-CO"/>
        </w:rPr>
        <w:t>eniendo en cuenta que el modelo DEA se considera la mejor herramienta disponible para la medición de la eficiencia comparativa, y dado que la información reportada por los prestadores no cumplía con los requisitos y parámetros solicitados</w:t>
      </w:r>
      <w:r w:rsidRPr="00F7314C">
        <w:rPr>
          <w:rFonts w:ascii="Arial" w:hAnsi="Arial" w:cs="Arial"/>
          <w:lang w:val="es-CO" w:eastAsia="zh-CN"/>
        </w:rPr>
        <w:t xml:space="preserve"> para </w:t>
      </w:r>
      <w:r w:rsidRPr="00F7314C">
        <w:rPr>
          <w:rFonts w:ascii="Arial" w:hAnsi="Arial" w:cs="Arial"/>
        </w:rPr>
        <w:t xml:space="preserve">determinar el </w:t>
      </w:r>
      <w:r>
        <w:rPr>
          <w:rFonts w:ascii="Arial" w:hAnsi="Arial" w:cs="Arial"/>
        </w:rPr>
        <w:t>P</w:t>
      </w:r>
      <w:r w:rsidRPr="00F7314C">
        <w:rPr>
          <w:rFonts w:ascii="Arial" w:hAnsi="Arial" w:cs="Arial"/>
        </w:rPr>
        <w:t xml:space="preserve">untaje de </w:t>
      </w:r>
      <w:r>
        <w:rPr>
          <w:rFonts w:ascii="Arial" w:hAnsi="Arial" w:cs="Arial"/>
        </w:rPr>
        <w:t>E</w:t>
      </w:r>
      <w:r w:rsidRPr="00F7314C">
        <w:rPr>
          <w:rFonts w:ascii="Arial" w:hAnsi="Arial" w:cs="Arial"/>
        </w:rPr>
        <w:t xml:space="preserve">ficiencia </w:t>
      </w:r>
      <w:r>
        <w:rPr>
          <w:rFonts w:ascii="Arial" w:hAnsi="Arial" w:cs="Arial"/>
        </w:rPr>
        <w:t>C</w:t>
      </w:r>
      <w:r w:rsidRPr="00F7314C">
        <w:rPr>
          <w:rFonts w:ascii="Arial" w:hAnsi="Arial" w:cs="Arial"/>
        </w:rPr>
        <w:t>omparativa</w:t>
      </w:r>
      <w:r>
        <w:rPr>
          <w:rFonts w:ascii="Arial" w:hAnsi="Arial" w:cs="Arial"/>
        </w:rPr>
        <w:t xml:space="preserve"> DEA -</w:t>
      </w:r>
      <w:r w:rsidRPr="00F7314C">
        <w:rPr>
          <w:rFonts w:ascii="Arial" w:hAnsi="Arial" w:cs="Arial"/>
          <w:i/>
        </w:rPr>
        <w:t xml:space="preserve"> </w:t>
      </w:r>
      <w:r w:rsidRPr="00A7520D">
        <w:rPr>
          <w:rFonts w:ascii="Arial" w:hAnsi="Arial" w:cs="Arial"/>
        </w:rPr>
        <w:t>P</w:t>
      </w:r>
      <w:r w:rsidRPr="00A7520D">
        <w:rPr>
          <w:rFonts w:ascii="Arial" w:hAnsi="Arial" w:cs="Arial"/>
          <w:vertAlign w:val="subscript"/>
        </w:rPr>
        <w:t>DEA</w:t>
      </w:r>
      <w:r w:rsidRPr="00F7314C">
        <w:rPr>
          <w:rFonts w:ascii="Arial" w:hAnsi="Arial" w:cs="Arial"/>
          <w:i/>
        </w:rPr>
        <w:t xml:space="preserve"> </w:t>
      </w:r>
      <w:r w:rsidRPr="00F7314C">
        <w:rPr>
          <w:rFonts w:ascii="Arial" w:hAnsi="Arial" w:cs="Arial"/>
        </w:rPr>
        <w:t xml:space="preserve">de los costos administrativos y operativos comparables, fue necesario </w:t>
      </w:r>
      <w:r w:rsidRPr="00F7314C">
        <w:rPr>
          <w:rFonts w:ascii="Arial" w:hAnsi="Arial" w:cs="Arial"/>
          <w:lang w:val="es-CO" w:eastAsia="zh-CN"/>
        </w:rPr>
        <w:t>que las</w:t>
      </w:r>
      <w:r w:rsidRPr="00F7314C">
        <w:rPr>
          <w:rFonts w:ascii="Arial" w:hAnsi="Arial" w:cs="Arial"/>
          <w:lang w:val="es-MX" w:eastAsia="zh-CN"/>
        </w:rPr>
        <w:t xml:space="preserve"> personas prestadoras completaran la totalidad de los mismos. </w:t>
      </w:r>
      <w:r w:rsidRPr="00F7314C">
        <w:rPr>
          <w:rFonts w:ascii="Arial" w:hAnsi="Arial" w:cs="Arial"/>
          <w:lang w:val="es-CO"/>
        </w:rPr>
        <w:t xml:space="preserve">Por lo anterior, se consideró pertinente </w:t>
      </w:r>
      <w:r w:rsidRPr="00F7314C">
        <w:rPr>
          <w:rFonts w:ascii="Arial" w:hAnsi="Arial" w:cs="Arial"/>
          <w:lang w:val="es-MX" w:eastAsia="zh-CN"/>
        </w:rPr>
        <w:t xml:space="preserve">ampliar el plazo establecido en el </w:t>
      </w:r>
      <w:r w:rsidRPr="00F7314C">
        <w:rPr>
          <w:rFonts w:ascii="Arial" w:hAnsi="Arial" w:cs="Arial"/>
          <w:lang w:val="es-CO" w:eastAsia="zh-CN"/>
        </w:rPr>
        <w:t xml:space="preserve">numeral 7 del Anexo II </w:t>
      </w:r>
      <w:r>
        <w:rPr>
          <w:rFonts w:ascii="Arial" w:hAnsi="Arial" w:cs="Arial"/>
          <w:lang w:val="es-CO" w:eastAsia="zh-CN"/>
        </w:rPr>
        <w:t>ibídem,</w:t>
      </w:r>
      <w:r w:rsidRPr="00F7314C">
        <w:rPr>
          <w:rFonts w:ascii="Arial" w:hAnsi="Arial" w:cs="Arial"/>
          <w:lang w:val="es-CO" w:eastAsia="zh-CN"/>
        </w:rPr>
        <w:t xml:space="preserve"> hasta el 1 de noviembre del año 2016, </w:t>
      </w:r>
      <w:r w:rsidRPr="00F7314C">
        <w:rPr>
          <w:rFonts w:ascii="Arial" w:hAnsi="Arial" w:cs="Arial"/>
          <w:lang w:val="es-MX" w:eastAsia="zh-CN"/>
        </w:rPr>
        <w:t xml:space="preserve">para que las personas prestadoras revisaran y realizaran </w:t>
      </w:r>
      <w:r w:rsidRPr="00F7314C">
        <w:rPr>
          <w:rFonts w:ascii="Arial" w:hAnsi="Arial" w:cs="Arial"/>
          <w:lang w:val="es-CO" w:eastAsia="zh-CN"/>
        </w:rPr>
        <w:t xml:space="preserve">los ajustes a que hubiera lugar de </w:t>
      </w:r>
      <w:r w:rsidRPr="00F7314C">
        <w:rPr>
          <w:rFonts w:ascii="Arial" w:hAnsi="Arial" w:cs="Arial"/>
          <w:lang w:val="es-MX" w:eastAsia="zh-CN"/>
        </w:rPr>
        <w:t>la información cargada al SUI</w:t>
      </w:r>
      <w:r w:rsidRPr="00F7314C">
        <w:rPr>
          <w:rFonts w:ascii="Arial" w:hAnsi="Arial" w:cs="Arial"/>
          <w:lang w:val="es-CO" w:eastAsia="zh-CN"/>
        </w:rPr>
        <w:t>.</w:t>
      </w:r>
    </w:p>
    <w:p w14:paraId="6B6C3EB1" w14:textId="77777777" w:rsidR="00F232E0" w:rsidRPr="00F7314C" w:rsidRDefault="00F232E0" w:rsidP="00DC2841">
      <w:pPr>
        <w:spacing w:after="0" w:line="240" w:lineRule="auto"/>
        <w:jc w:val="both"/>
        <w:rPr>
          <w:rFonts w:ascii="Arial" w:hAnsi="Arial" w:cs="Arial"/>
          <w:sz w:val="20"/>
          <w:szCs w:val="20"/>
          <w:lang w:val="es-CO" w:eastAsia="zh-CN"/>
        </w:rPr>
      </w:pPr>
    </w:p>
    <w:p w14:paraId="32AE0C5B" w14:textId="77777777" w:rsidR="00F232E0" w:rsidRPr="00F7314C" w:rsidRDefault="00F232E0" w:rsidP="00DC2841">
      <w:pPr>
        <w:spacing w:after="0" w:line="240" w:lineRule="auto"/>
        <w:jc w:val="both"/>
        <w:rPr>
          <w:rFonts w:ascii="Arial" w:hAnsi="Arial" w:cs="Arial"/>
          <w:iCs/>
          <w:sz w:val="20"/>
          <w:szCs w:val="20"/>
          <w:lang w:val="es-ES_tradnl"/>
        </w:rPr>
      </w:pPr>
      <w:r w:rsidRPr="00F7314C">
        <w:rPr>
          <w:rFonts w:ascii="Arial" w:hAnsi="Arial" w:cs="Arial"/>
          <w:sz w:val="20"/>
          <w:szCs w:val="20"/>
        </w:rPr>
        <w:t xml:space="preserve">De acuerdo con lo anterior, en sesión de Comisión Ordinaria No. 224 de 15 de junio de 2016, se aprobó la expedición de la </w:t>
      </w:r>
      <w:r w:rsidRPr="00F7314C">
        <w:rPr>
          <w:rFonts w:ascii="Arial" w:hAnsi="Arial" w:cs="Arial"/>
          <w:iCs/>
          <w:sz w:val="20"/>
          <w:szCs w:val="20"/>
        </w:rPr>
        <w:t xml:space="preserve">Resolución CRA 760 de 2016 </w:t>
      </w:r>
      <w:r w:rsidRPr="00F7314C">
        <w:rPr>
          <w:rFonts w:ascii="Arial" w:hAnsi="Arial" w:cs="Arial"/>
          <w:i/>
          <w:iCs/>
          <w:sz w:val="20"/>
          <w:szCs w:val="20"/>
        </w:rPr>
        <w:t>“Por la cual se hace público el proyecto de Resolución ‘</w:t>
      </w:r>
      <w:r w:rsidRPr="00F7314C">
        <w:rPr>
          <w:rFonts w:ascii="Arial" w:hAnsi="Arial" w:cs="Arial"/>
          <w:bCs/>
          <w:i/>
          <w:iCs/>
          <w:snapToGrid w:val="0"/>
          <w:sz w:val="20"/>
          <w:szCs w:val="20"/>
          <w:lang w:val="es-CO"/>
        </w:rPr>
        <w:t xml:space="preserve">Por la cual </w:t>
      </w:r>
      <w:r w:rsidRPr="00F7314C">
        <w:rPr>
          <w:rFonts w:ascii="Arial" w:hAnsi="Arial" w:cs="Arial"/>
          <w:bCs/>
          <w:i/>
          <w:iCs/>
          <w:snapToGrid w:val="0"/>
          <w:sz w:val="20"/>
          <w:szCs w:val="20"/>
        </w:rPr>
        <w:t>se modifica el Anexo II de la Resolución CRA 688 de 2014, modificado y adicionado por el artículo 47 de la Resolución CRA 735 de 2015’”</w:t>
      </w:r>
      <w:r w:rsidRPr="00F7314C">
        <w:rPr>
          <w:rFonts w:ascii="Arial" w:hAnsi="Arial" w:cs="Arial"/>
          <w:iCs/>
          <w:sz w:val="20"/>
          <w:szCs w:val="20"/>
          <w:lang w:val="es-ES_tradnl"/>
        </w:rPr>
        <w:t>, publicada en el Diario Oficial N° 49.917 de 27 de junio de 2016. Dicho proyecto de resolución incluía como anexo los resultados del análisis efectuado por la CRA respecto de cada uno de los parámetros de inclusión en el año 2014 y cada una de las variables (administrativas y operativas comparables) del modelo de eficiencia comparativa cargadas en el Sistema Único de Información – SUI de la SSPD al corte del 19 de febrero de 2016, por parte de las personas prestadoras pertenecientes al primer segmento, en la serie de tiempo 2010 – 2014.</w:t>
      </w:r>
    </w:p>
    <w:p w14:paraId="5A1CC2DE" w14:textId="77777777" w:rsidR="00F232E0" w:rsidRDefault="00F232E0" w:rsidP="00DC2841">
      <w:pPr>
        <w:spacing w:after="0" w:line="240" w:lineRule="auto"/>
        <w:jc w:val="both"/>
        <w:rPr>
          <w:rFonts w:ascii="Arial" w:hAnsi="Arial" w:cs="Arial"/>
          <w:iCs/>
          <w:sz w:val="20"/>
          <w:szCs w:val="20"/>
          <w:lang w:val="es-ES_tradnl"/>
        </w:rPr>
      </w:pPr>
    </w:p>
    <w:p w14:paraId="1C6CA740" w14:textId="77777777" w:rsidR="00F232E0" w:rsidRPr="00F232E0" w:rsidRDefault="00F232E0" w:rsidP="00DC2841">
      <w:pPr>
        <w:spacing w:after="0" w:line="240" w:lineRule="auto"/>
        <w:jc w:val="both"/>
        <w:rPr>
          <w:rFonts w:ascii="Arial" w:hAnsi="Arial" w:cs="Arial"/>
          <w:iCs/>
          <w:sz w:val="20"/>
          <w:szCs w:val="20"/>
          <w:lang w:val="es-ES_tradnl"/>
        </w:rPr>
      </w:pPr>
      <w:r w:rsidRPr="00F232E0">
        <w:rPr>
          <w:rFonts w:ascii="Arial" w:hAnsi="Arial" w:cs="Arial"/>
          <w:bCs/>
          <w:iCs/>
          <w:sz w:val="20"/>
          <w:szCs w:val="20"/>
        </w:rPr>
        <w:t>De igual forma, se realizaron reuniones con cada uno de los prestadores en las que se les dio a conocer el estado de la información necesaria para la estimación del Modelo de Eficiencia Comparativa</w:t>
      </w:r>
      <w:r>
        <w:rPr>
          <w:rFonts w:ascii="Arial" w:hAnsi="Arial" w:cs="Arial"/>
          <w:bCs/>
          <w:iCs/>
          <w:sz w:val="20"/>
          <w:szCs w:val="20"/>
        </w:rPr>
        <w:t>,</w:t>
      </w:r>
      <w:r w:rsidRPr="005B5576">
        <w:rPr>
          <w:rFonts w:ascii="Arial" w:hAnsi="Arial" w:cs="Arial"/>
          <w:sz w:val="20"/>
          <w:szCs w:val="20"/>
          <w:lang w:val="es-CO"/>
        </w:rPr>
        <w:t xml:space="preserve"> con el fin de que las empresas revisaran y ajustaran en el SUI la información base para el cálculo del DEA y pudieran hacer parte del grupo básico.</w:t>
      </w:r>
    </w:p>
    <w:p w14:paraId="0F590B9C" w14:textId="77777777" w:rsidR="00F232E0" w:rsidRPr="00F7314C" w:rsidRDefault="00F232E0" w:rsidP="00DC2841">
      <w:pPr>
        <w:spacing w:after="0" w:line="240" w:lineRule="auto"/>
        <w:jc w:val="both"/>
        <w:rPr>
          <w:rFonts w:ascii="Arial" w:hAnsi="Arial" w:cs="Arial"/>
          <w:iCs/>
          <w:sz w:val="20"/>
          <w:szCs w:val="20"/>
          <w:lang w:val="es-ES_tradnl"/>
        </w:rPr>
      </w:pPr>
    </w:p>
    <w:p w14:paraId="661F0C7A" w14:textId="77777777" w:rsidR="00F232E0" w:rsidRPr="00F7314C" w:rsidRDefault="00F232E0" w:rsidP="00DC2841">
      <w:pPr>
        <w:autoSpaceDE w:val="0"/>
        <w:autoSpaceDN w:val="0"/>
        <w:adjustRightInd w:val="0"/>
        <w:spacing w:after="0" w:line="240" w:lineRule="auto"/>
        <w:jc w:val="both"/>
        <w:rPr>
          <w:rFonts w:ascii="Arial" w:hAnsi="Arial" w:cs="Arial"/>
          <w:sz w:val="20"/>
          <w:szCs w:val="20"/>
          <w:lang w:val="es-CO" w:eastAsia="es-CO"/>
        </w:rPr>
      </w:pPr>
      <w:r w:rsidRPr="00F7314C">
        <w:rPr>
          <w:rFonts w:ascii="Arial" w:hAnsi="Arial" w:cs="Arial"/>
          <w:iCs/>
          <w:sz w:val="20"/>
          <w:szCs w:val="20"/>
          <w:lang w:val="es-ES_tradnl" w:eastAsia="es-CO"/>
        </w:rPr>
        <w:t>Durante el término de participación ciudadana de la Resolución CRA 760 de 2016 se recibieron 27 observaciones, reparos y sugerencias escritas, las cuales en su totalidad s</w:t>
      </w:r>
      <w:r w:rsidRPr="00F7314C">
        <w:rPr>
          <w:rFonts w:ascii="Arial" w:hAnsi="Arial" w:cs="Arial"/>
          <w:sz w:val="20"/>
          <w:szCs w:val="20"/>
          <w:lang w:val="es-ES_tradnl" w:eastAsia="es-CO"/>
        </w:rPr>
        <w:t>e</w:t>
      </w:r>
      <w:r w:rsidRPr="00F7314C">
        <w:rPr>
          <w:rFonts w:ascii="Arial" w:hAnsi="Arial" w:cs="Arial"/>
          <w:iCs/>
          <w:sz w:val="20"/>
          <w:szCs w:val="20"/>
          <w:lang w:val="es-ES_tradnl" w:eastAsia="es-CO"/>
        </w:rPr>
        <w:t xml:space="preserve"> clasificaron en ejes temáticos, se consideraron</w:t>
      </w:r>
      <w:r>
        <w:rPr>
          <w:rFonts w:ascii="Arial" w:hAnsi="Arial" w:cs="Arial"/>
          <w:iCs/>
          <w:sz w:val="20"/>
          <w:szCs w:val="20"/>
          <w:lang w:val="es-ES_tradnl" w:eastAsia="es-CO"/>
        </w:rPr>
        <w:t xml:space="preserve"> y</w:t>
      </w:r>
      <w:r w:rsidRPr="00F7314C">
        <w:rPr>
          <w:rFonts w:ascii="Arial" w:hAnsi="Arial" w:cs="Arial"/>
          <w:iCs/>
          <w:sz w:val="20"/>
          <w:szCs w:val="20"/>
          <w:lang w:val="es-ES_tradnl" w:eastAsia="es-CO"/>
        </w:rPr>
        <w:t xml:space="preserve"> se analizaron por parte de la Comisión de Regulación</w:t>
      </w:r>
      <w:r>
        <w:rPr>
          <w:rFonts w:ascii="Arial" w:hAnsi="Arial" w:cs="Arial"/>
          <w:iCs/>
          <w:sz w:val="20"/>
          <w:szCs w:val="20"/>
          <w:lang w:val="es-ES_tradnl" w:eastAsia="es-CO"/>
        </w:rPr>
        <w:t xml:space="preserve"> de Agua Potable y Saneamiento Básico - CRA</w:t>
      </w:r>
      <w:r w:rsidRPr="00F7314C">
        <w:rPr>
          <w:rFonts w:ascii="Arial" w:hAnsi="Arial" w:cs="Arial"/>
          <w:iCs/>
          <w:sz w:val="20"/>
          <w:szCs w:val="20"/>
          <w:lang w:val="es-ES_tradnl" w:eastAsia="es-CO"/>
        </w:rPr>
        <w:t>.</w:t>
      </w:r>
    </w:p>
    <w:p w14:paraId="502E95FC" w14:textId="77777777" w:rsidR="00F232E0" w:rsidRDefault="00F232E0" w:rsidP="00DC2841">
      <w:pPr>
        <w:autoSpaceDE w:val="0"/>
        <w:autoSpaceDN w:val="0"/>
        <w:adjustRightInd w:val="0"/>
        <w:spacing w:after="0" w:line="240" w:lineRule="auto"/>
        <w:jc w:val="both"/>
        <w:rPr>
          <w:rFonts w:ascii="Arial" w:hAnsi="Arial" w:cs="Arial"/>
          <w:sz w:val="20"/>
          <w:szCs w:val="20"/>
          <w:lang w:eastAsia="es-CO"/>
        </w:rPr>
      </w:pPr>
    </w:p>
    <w:p w14:paraId="263CD371" w14:textId="77777777" w:rsidR="00F232E0" w:rsidRDefault="00F232E0" w:rsidP="00DC2841">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sz w:val="20"/>
          <w:szCs w:val="20"/>
          <w:lang w:eastAsia="es-CO"/>
        </w:rPr>
        <w:t xml:space="preserve">Así las cosas, en sesión de Comisión Ordinaria No. 226 de 15 de septiembre de 2016, se aprobó la expedición de la </w:t>
      </w:r>
      <w:r w:rsidRPr="00F7314C">
        <w:rPr>
          <w:rFonts w:ascii="Arial" w:hAnsi="Arial" w:cs="Arial"/>
          <w:iCs/>
          <w:sz w:val="20"/>
          <w:szCs w:val="20"/>
          <w:lang w:eastAsia="es-CO"/>
        </w:rPr>
        <w:t>Resolución CRA 770 de 2016,</w:t>
      </w:r>
      <w:r w:rsidRPr="00F7314C">
        <w:rPr>
          <w:rFonts w:ascii="Arial" w:hAnsi="Arial" w:cs="Arial"/>
          <w:b/>
          <w:bCs/>
          <w:i/>
          <w:iCs/>
          <w:sz w:val="20"/>
          <w:szCs w:val="20"/>
          <w:lang w:val="es-CO" w:eastAsia="es-CO"/>
        </w:rPr>
        <w:t xml:space="preserve"> </w:t>
      </w:r>
      <w:r w:rsidRPr="00F7314C">
        <w:rPr>
          <w:rFonts w:ascii="Arial" w:hAnsi="Arial" w:cs="Arial"/>
          <w:bCs/>
          <w:i/>
          <w:iCs/>
          <w:sz w:val="20"/>
          <w:szCs w:val="20"/>
          <w:lang w:val="es-CO" w:eastAsia="es-CO"/>
        </w:rPr>
        <w:t xml:space="preserve">“Por la cual </w:t>
      </w:r>
      <w:r w:rsidRPr="00F7314C">
        <w:rPr>
          <w:rFonts w:ascii="Arial" w:hAnsi="Arial" w:cs="Arial"/>
          <w:bCs/>
          <w:i/>
          <w:iCs/>
          <w:sz w:val="20"/>
          <w:szCs w:val="20"/>
          <w:lang w:eastAsia="es-CO"/>
        </w:rPr>
        <w:t xml:space="preserve">se modifica el Anexo II de la Resolución CRA 688 de 2014, modificado y adicionado por el artículo 47 de la Resolución CRA 735 de 2015”, </w:t>
      </w:r>
      <w:r w:rsidRPr="00F7314C">
        <w:rPr>
          <w:rFonts w:ascii="Arial" w:hAnsi="Arial" w:cs="Arial"/>
          <w:bCs/>
          <w:iCs/>
          <w:sz w:val="20"/>
          <w:szCs w:val="20"/>
          <w:lang w:eastAsia="es-CO"/>
        </w:rPr>
        <w:t>publicada en el Diario Oficial N° 50.011 de 29 de septiembre de 2016</w:t>
      </w:r>
      <w:r w:rsidRPr="00F7314C">
        <w:rPr>
          <w:rFonts w:ascii="Arial" w:hAnsi="Arial" w:cs="Arial"/>
          <w:bCs/>
          <w:i/>
          <w:iCs/>
          <w:sz w:val="20"/>
          <w:szCs w:val="20"/>
          <w:lang w:eastAsia="es-CO"/>
        </w:rPr>
        <w:t xml:space="preserve">, </w:t>
      </w:r>
      <w:r w:rsidRPr="00F7314C">
        <w:rPr>
          <w:rFonts w:ascii="Arial" w:hAnsi="Arial" w:cs="Arial"/>
          <w:bCs/>
          <w:iCs/>
          <w:sz w:val="20"/>
          <w:szCs w:val="20"/>
          <w:lang w:eastAsia="es-CO"/>
        </w:rPr>
        <w:t xml:space="preserve">definiendo el </w:t>
      </w:r>
      <w:r w:rsidRPr="00F7314C">
        <w:rPr>
          <w:rFonts w:ascii="Arial" w:hAnsi="Arial" w:cs="Arial"/>
          <w:bCs/>
          <w:iCs/>
          <w:sz w:val="20"/>
          <w:szCs w:val="20"/>
          <w:lang w:val="es-MX" w:eastAsia="es-CO"/>
        </w:rPr>
        <w:t xml:space="preserve">primero (1°) </w:t>
      </w:r>
      <w:r w:rsidRPr="00F7314C">
        <w:rPr>
          <w:rFonts w:ascii="Arial" w:hAnsi="Arial" w:cs="Arial"/>
          <w:bCs/>
          <w:iCs/>
          <w:sz w:val="20"/>
          <w:szCs w:val="20"/>
          <w:lang w:eastAsia="es-CO"/>
        </w:rPr>
        <w:t xml:space="preserve">de noviembre del año 2016, como plazo para que las personas prestadoras </w:t>
      </w:r>
      <w:r w:rsidRPr="00F7314C">
        <w:rPr>
          <w:rFonts w:ascii="Arial" w:hAnsi="Arial" w:cs="Arial"/>
          <w:bCs/>
          <w:iCs/>
          <w:sz w:val="20"/>
          <w:szCs w:val="20"/>
          <w:lang w:val="es-CO" w:eastAsia="es-CO"/>
        </w:rPr>
        <w:t>con APS del primer segmento y/o con APS en las que optaron por aplicar la metodología correspondiente al primer segmento,</w:t>
      </w:r>
      <w:r w:rsidRPr="00F7314C">
        <w:rPr>
          <w:rFonts w:ascii="Arial" w:hAnsi="Arial" w:cs="Arial"/>
          <w:bCs/>
          <w:iCs/>
          <w:sz w:val="20"/>
          <w:szCs w:val="20"/>
          <w:lang w:eastAsia="es-CO"/>
        </w:rPr>
        <w:t xml:space="preserve"> revisaran y realizaran los ajustes a que hubiere lugar de la información cargada al SUI para el cálculo del</w:t>
      </w:r>
      <w:r w:rsidRPr="00F7314C">
        <w:rPr>
          <w:rFonts w:ascii="Arial" w:hAnsi="Arial" w:cs="Arial"/>
          <w:bCs/>
          <w:iCs/>
          <w:sz w:val="20"/>
          <w:szCs w:val="20"/>
          <w:lang w:val="es-CO" w:eastAsia="es-CO"/>
        </w:rPr>
        <w:t xml:space="preserve"> P</w:t>
      </w:r>
      <w:r w:rsidRPr="00F7314C">
        <w:rPr>
          <w:rFonts w:ascii="Arial" w:hAnsi="Arial" w:cs="Arial"/>
          <w:bCs/>
          <w:iCs/>
          <w:sz w:val="20"/>
          <w:szCs w:val="20"/>
          <w:vertAlign w:val="subscript"/>
          <w:lang w:val="es-CO" w:eastAsia="es-CO"/>
        </w:rPr>
        <w:t>DEA</w:t>
      </w:r>
      <w:r w:rsidRPr="00F7314C">
        <w:rPr>
          <w:rFonts w:ascii="Arial" w:hAnsi="Arial" w:cs="Arial"/>
          <w:bCs/>
          <w:iCs/>
          <w:sz w:val="20"/>
          <w:szCs w:val="20"/>
          <w:lang w:eastAsia="es-CO"/>
        </w:rPr>
        <w:t>.</w:t>
      </w:r>
    </w:p>
    <w:p w14:paraId="0688694D" w14:textId="77777777" w:rsidR="00DC2841" w:rsidRDefault="00DC2841" w:rsidP="00DC2841">
      <w:pPr>
        <w:autoSpaceDE w:val="0"/>
        <w:autoSpaceDN w:val="0"/>
        <w:adjustRightInd w:val="0"/>
        <w:spacing w:after="0" w:line="240" w:lineRule="auto"/>
        <w:jc w:val="both"/>
        <w:rPr>
          <w:rFonts w:ascii="Arial" w:hAnsi="Arial" w:cs="Arial"/>
          <w:bCs/>
          <w:iCs/>
          <w:sz w:val="20"/>
          <w:szCs w:val="20"/>
          <w:lang w:eastAsia="es-CO"/>
        </w:rPr>
      </w:pPr>
    </w:p>
    <w:p w14:paraId="3A3C5AE2" w14:textId="77777777" w:rsidR="00453301" w:rsidRPr="005B5576" w:rsidRDefault="00DC2841" w:rsidP="00453301">
      <w:pPr>
        <w:spacing w:after="0" w:line="240" w:lineRule="auto"/>
        <w:jc w:val="both"/>
        <w:rPr>
          <w:rFonts w:ascii="Arial" w:hAnsi="Arial" w:cs="Arial"/>
          <w:sz w:val="20"/>
          <w:szCs w:val="20"/>
          <w:lang w:val="es-CO"/>
        </w:rPr>
      </w:pPr>
      <w:r w:rsidRPr="00453301">
        <w:rPr>
          <w:rFonts w:ascii="Arial" w:hAnsi="Arial" w:cs="Arial"/>
          <w:bCs/>
          <w:iCs/>
          <w:sz w:val="20"/>
          <w:szCs w:val="20"/>
          <w:lang w:eastAsia="es-CO"/>
        </w:rPr>
        <w:t>De igual forma, la mencionada resolución dispone que “</w:t>
      </w:r>
      <w:r w:rsidRPr="00453301">
        <w:rPr>
          <w:rFonts w:ascii="Arial" w:hAnsi="Arial" w:cs="Arial"/>
          <w:i/>
          <w:sz w:val="20"/>
          <w:szCs w:val="20"/>
          <w:lang w:val="es-MX"/>
        </w:rPr>
        <w:t xml:space="preserve">La identificación de datos atípicos se realizará </w:t>
      </w:r>
      <w:r w:rsidRPr="00453301">
        <w:rPr>
          <w:rFonts w:ascii="Arial" w:hAnsi="Arial" w:cs="Arial"/>
          <w:i/>
          <w:sz w:val="20"/>
          <w:szCs w:val="20"/>
        </w:rPr>
        <w:t xml:space="preserve">a través de un análisis de dispersión sobre </w:t>
      </w:r>
      <w:r w:rsidRPr="00453301">
        <w:rPr>
          <w:rFonts w:ascii="Arial" w:hAnsi="Arial" w:cs="Arial"/>
          <w:i/>
          <w:sz w:val="20"/>
          <w:szCs w:val="20"/>
          <w:lang w:val="es-CO"/>
        </w:rPr>
        <w:t>aquellos datos que estén por fuera del percentil 25 menos 1,5 veces el rango intercuartílico y del percentil 75 más 1,5 veces el rango intercuartílico</w:t>
      </w:r>
      <w:r w:rsidRPr="00453301">
        <w:rPr>
          <w:rStyle w:val="Refdenotaalpie"/>
          <w:rFonts w:ascii="Arial" w:hAnsi="Arial" w:cs="Arial"/>
          <w:sz w:val="20"/>
          <w:szCs w:val="20"/>
          <w:lang w:val="es-CO" w:eastAsia="es-CO"/>
        </w:rPr>
        <w:footnoteReference w:id="3"/>
      </w:r>
      <w:r w:rsidR="00453301" w:rsidRPr="00453301">
        <w:rPr>
          <w:rFonts w:ascii="Arial" w:hAnsi="Arial" w:cs="Arial"/>
          <w:i/>
          <w:sz w:val="20"/>
          <w:szCs w:val="20"/>
          <w:lang w:val="es-CO"/>
        </w:rPr>
        <w:t xml:space="preserve">” </w:t>
      </w:r>
      <w:r w:rsidR="00453301" w:rsidRPr="00453301">
        <w:rPr>
          <w:rFonts w:ascii="Arial" w:hAnsi="Arial" w:cs="Arial"/>
          <w:sz w:val="20"/>
          <w:szCs w:val="20"/>
          <w:lang w:val="es-CO"/>
        </w:rPr>
        <w:t>y</w:t>
      </w:r>
      <w:r w:rsidR="00453301" w:rsidRPr="00453301">
        <w:rPr>
          <w:rFonts w:ascii="Arial" w:hAnsi="Arial" w:cs="Arial"/>
          <w:i/>
          <w:sz w:val="20"/>
          <w:szCs w:val="20"/>
          <w:lang w:val="es-CO"/>
        </w:rPr>
        <w:t xml:space="preserve"> </w:t>
      </w:r>
      <w:r w:rsidRPr="00453301">
        <w:rPr>
          <w:rFonts w:ascii="Arial" w:hAnsi="Arial" w:cs="Arial"/>
          <w:bCs/>
          <w:iCs/>
          <w:sz w:val="20"/>
          <w:szCs w:val="20"/>
          <w:lang w:eastAsia="es-CO"/>
        </w:rPr>
        <w:t>“</w:t>
      </w:r>
      <w:r w:rsidR="00453301" w:rsidRPr="00453301">
        <w:rPr>
          <w:rFonts w:ascii="Arial" w:hAnsi="Arial" w:cs="Arial"/>
          <w:bCs/>
          <w:iCs/>
          <w:sz w:val="20"/>
          <w:szCs w:val="20"/>
          <w:lang w:eastAsia="es-CO"/>
        </w:rPr>
        <w:t>…</w:t>
      </w:r>
      <w:r w:rsidRPr="00453301">
        <w:rPr>
          <w:rFonts w:ascii="Arial" w:hAnsi="Arial" w:cs="Arial"/>
          <w:i/>
          <w:sz w:val="20"/>
          <w:szCs w:val="20"/>
          <w:lang w:val="es-CO"/>
        </w:rPr>
        <w:t xml:space="preserve">aquellos datos atípicos que correspondan a errores de digitación, serán considerados </w:t>
      </w:r>
      <w:r w:rsidR="00453301">
        <w:rPr>
          <w:rFonts w:ascii="Arial" w:hAnsi="Arial" w:cs="Arial"/>
          <w:i/>
          <w:sz w:val="20"/>
          <w:szCs w:val="20"/>
          <w:lang w:val="es-CO"/>
        </w:rPr>
        <w:t xml:space="preserve">datos atípicos no justificables”. </w:t>
      </w:r>
      <w:r w:rsidR="00453301">
        <w:rPr>
          <w:rFonts w:ascii="Arial" w:hAnsi="Arial" w:cs="Arial"/>
          <w:sz w:val="20"/>
          <w:szCs w:val="20"/>
          <w:lang w:val="es-CO"/>
        </w:rPr>
        <w:t xml:space="preserve">En este sentido, </w:t>
      </w:r>
      <w:r w:rsidR="00453301" w:rsidRPr="00453301">
        <w:rPr>
          <w:rFonts w:ascii="Arial" w:hAnsi="Arial" w:cs="Arial"/>
          <w:bCs/>
          <w:iCs/>
          <w:sz w:val="20"/>
          <w:szCs w:val="20"/>
          <w:lang w:eastAsia="es-CO"/>
        </w:rPr>
        <w:t>el Anexo II de la Resolución CRA 688 de 2014, modificado y adicionado por el artículo 47 de la Resolución CRA 735 de 2015</w:t>
      </w:r>
      <w:r w:rsidR="00453301">
        <w:rPr>
          <w:rFonts w:ascii="Arial" w:hAnsi="Arial" w:cs="Arial"/>
          <w:bCs/>
          <w:iCs/>
          <w:sz w:val="20"/>
          <w:szCs w:val="20"/>
          <w:lang w:eastAsia="es-CO"/>
        </w:rPr>
        <w:t xml:space="preserve">, </w:t>
      </w:r>
      <w:r w:rsidR="00453301" w:rsidRPr="005B5576">
        <w:rPr>
          <w:rFonts w:ascii="Arial" w:hAnsi="Arial" w:cs="Arial"/>
          <w:sz w:val="20"/>
          <w:szCs w:val="20"/>
          <w:lang w:val="es-CO"/>
        </w:rPr>
        <w:t>estableció claramente que los errores de digitación se consideraban como datos atípicos no justificables.</w:t>
      </w:r>
    </w:p>
    <w:p w14:paraId="38775483" w14:textId="77777777" w:rsidR="008623B8" w:rsidRDefault="008623B8" w:rsidP="008623B8">
      <w:pPr>
        <w:spacing w:after="0" w:line="240" w:lineRule="auto"/>
        <w:ind w:left="284"/>
        <w:jc w:val="both"/>
        <w:rPr>
          <w:rFonts w:ascii="Arial" w:hAnsi="Arial" w:cs="Arial"/>
          <w:sz w:val="20"/>
          <w:szCs w:val="20"/>
          <w:lang w:val="es-MX"/>
        </w:rPr>
      </w:pPr>
    </w:p>
    <w:p w14:paraId="54F1F935" w14:textId="1F7AD4BC" w:rsidR="00C3298A" w:rsidRPr="00111AE0" w:rsidRDefault="003C0E07" w:rsidP="00C3298A">
      <w:pPr>
        <w:spacing w:after="0" w:line="240" w:lineRule="auto"/>
        <w:jc w:val="both"/>
        <w:rPr>
          <w:rFonts w:ascii="Arial" w:hAnsi="Arial" w:cs="Arial"/>
          <w:sz w:val="20"/>
          <w:szCs w:val="20"/>
          <w:lang w:val="es-MX"/>
        </w:rPr>
      </w:pPr>
      <w:r w:rsidRPr="00111AE0">
        <w:rPr>
          <w:rFonts w:ascii="Arial" w:hAnsi="Arial" w:cs="Arial"/>
          <w:sz w:val="20"/>
          <w:szCs w:val="20"/>
          <w:lang w:val="es-MX"/>
        </w:rPr>
        <w:t>Ahora bien, en relación con</w:t>
      </w:r>
      <w:r w:rsidRPr="00111AE0">
        <w:t xml:space="preserve"> </w:t>
      </w:r>
      <w:r w:rsidRPr="00111AE0">
        <w:rPr>
          <w:rFonts w:ascii="Arial" w:hAnsi="Arial" w:cs="Arial"/>
          <w:sz w:val="20"/>
          <w:szCs w:val="20"/>
          <w:lang w:val="es-MX"/>
        </w:rPr>
        <w:t xml:space="preserve">la inclusión en el modelo </w:t>
      </w:r>
      <w:r w:rsidR="002D4BE0" w:rsidRPr="00111AE0">
        <w:rPr>
          <w:rFonts w:ascii="Arial" w:hAnsi="Arial" w:cs="Arial"/>
          <w:sz w:val="20"/>
          <w:szCs w:val="20"/>
          <w:lang w:val="es-MX"/>
        </w:rPr>
        <w:t xml:space="preserve">DEA </w:t>
      </w:r>
      <w:r w:rsidRPr="00111AE0">
        <w:rPr>
          <w:rFonts w:ascii="Arial" w:hAnsi="Arial" w:cs="Arial"/>
          <w:sz w:val="20"/>
          <w:szCs w:val="20"/>
          <w:lang w:val="es-MX"/>
        </w:rPr>
        <w:t>de</w:t>
      </w:r>
      <w:r w:rsidR="00D619BB" w:rsidRPr="00111AE0">
        <w:rPr>
          <w:rFonts w:ascii="Arial" w:hAnsi="Arial" w:cs="Arial"/>
          <w:sz w:val="20"/>
          <w:szCs w:val="20"/>
          <w:lang w:val="es-MX"/>
        </w:rPr>
        <w:t xml:space="preserve"> la empresa</w:t>
      </w:r>
      <w:r w:rsidRPr="00111AE0">
        <w:rPr>
          <w:rFonts w:ascii="Arial" w:hAnsi="Arial" w:cs="Arial"/>
          <w:sz w:val="20"/>
          <w:szCs w:val="20"/>
          <w:lang w:val="es-MX"/>
        </w:rPr>
        <w:t xml:space="preserve"> Proactiva Aguas de Tunja</w:t>
      </w:r>
      <w:r w:rsidR="00D619BB" w:rsidRPr="00111AE0">
        <w:rPr>
          <w:rFonts w:ascii="Arial" w:hAnsi="Arial" w:cs="Arial"/>
          <w:sz w:val="20"/>
          <w:szCs w:val="20"/>
          <w:lang w:val="es-MX"/>
        </w:rPr>
        <w:t>, l</w:t>
      </w:r>
      <w:r w:rsidR="007A4DBE" w:rsidRPr="00111AE0">
        <w:rPr>
          <w:rFonts w:ascii="Arial" w:hAnsi="Arial" w:cs="Arial"/>
          <w:sz w:val="20"/>
          <w:szCs w:val="20"/>
          <w:lang w:val="es-MX"/>
        </w:rPr>
        <w:t>a CRA</w:t>
      </w:r>
      <w:r w:rsidR="007457A0" w:rsidRPr="00111AE0">
        <w:rPr>
          <w:rFonts w:ascii="Arial" w:hAnsi="Arial" w:cs="Arial"/>
          <w:sz w:val="20"/>
          <w:szCs w:val="20"/>
          <w:lang w:val="es-MX"/>
        </w:rPr>
        <w:t xml:space="preserve"> realizó la revisión del contrato</w:t>
      </w:r>
      <w:r w:rsidR="00BB4D6F">
        <w:rPr>
          <w:rFonts w:ascii="Arial" w:hAnsi="Arial" w:cs="Arial"/>
          <w:sz w:val="20"/>
          <w:szCs w:val="20"/>
          <w:lang w:val="es-MX"/>
        </w:rPr>
        <w:t xml:space="preserve"> de concesión 0132 de 1996</w:t>
      </w:r>
      <w:r w:rsidR="002D4BE0" w:rsidRPr="00111AE0">
        <w:rPr>
          <w:rFonts w:ascii="Arial" w:hAnsi="Arial" w:cs="Arial"/>
          <w:sz w:val="20"/>
          <w:szCs w:val="20"/>
          <w:lang w:val="es-MX"/>
        </w:rPr>
        <w:t>,</w:t>
      </w:r>
      <w:r w:rsidR="007457A0" w:rsidRPr="00111AE0">
        <w:rPr>
          <w:rFonts w:ascii="Arial" w:hAnsi="Arial" w:cs="Arial"/>
          <w:sz w:val="20"/>
          <w:szCs w:val="20"/>
          <w:lang w:val="es-MX"/>
        </w:rPr>
        <w:t xml:space="preserve"> remitido por la </w:t>
      </w:r>
      <w:r w:rsidR="00C3298A" w:rsidRPr="00111AE0">
        <w:rPr>
          <w:rFonts w:ascii="Arial" w:hAnsi="Arial" w:cs="Arial"/>
          <w:sz w:val="20"/>
          <w:szCs w:val="20"/>
          <w:lang w:val="es-MX"/>
        </w:rPr>
        <w:t>SSPD</w:t>
      </w:r>
      <w:r w:rsidR="002D4BE0" w:rsidRPr="00111AE0">
        <w:rPr>
          <w:rFonts w:ascii="Arial" w:hAnsi="Arial" w:cs="Arial"/>
          <w:sz w:val="20"/>
          <w:szCs w:val="20"/>
          <w:lang w:val="es-MX"/>
        </w:rPr>
        <w:t>,</w:t>
      </w:r>
      <w:r w:rsidR="007457A0" w:rsidRPr="00111AE0">
        <w:rPr>
          <w:rFonts w:ascii="Arial" w:hAnsi="Arial" w:cs="Arial"/>
          <w:sz w:val="20"/>
          <w:szCs w:val="20"/>
          <w:lang w:val="es-MX"/>
        </w:rPr>
        <w:t xml:space="preserve"> </w:t>
      </w:r>
      <w:r w:rsidR="00C3298A" w:rsidRPr="00111AE0">
        <w:rPr>
          <w:rFonts w:ascii="Arial" w:hAnsi="Arial" w:cs="Arial"/>
          <w:sz w:val="20"/>
          <w:szCs w:val="20"/>
          <w:lang w:val="es-MX"/>
        </w:rPr>
        <w:t xml:space="preserve">sin </w:t>
      </w:r>
      <w:r w:rsidR="00BB4D6F">
        <w:rPr>
          <w:rFonts w:ascii="Arial" w:hAnsi="Arial" w:cs="Arial"/>
          <w:sz w:val="20"/>
          <w:szCs w:val="20"/>
          <w:lang w:val="es-MX"/>
        </w:rPr>
        <w:t>encontrar en el mismo alguna clá</w:t>
      </w:r>
      <w:r w:rsidR="00C3298A" w:rsidRPr="00111AE0">
        <w:rPr>
          <w:rFonts w:ascii="Arial" w:hAnsi="Arial" w:cs="Arial"/>
          <w:sz w:val="20"/>
          <w:szCs w:val="20"/>
          <w:lang w:val="es-MX"/>
        </w:rPr>
        <w:t>usula o condición que haga pensar que dicha empresa asuma un nivel de costos diferente a las demás empresas del primer segmento.</w:t>
      </w:r>
    </w:p>
    <w:p w14:paraId="61F25B5D" w14:textId="77777777" w:rsidR="00C3298A" w:rsidRPr="00111AE0" w:rsidRDefault="00C3298A" w:rsidP="00C3298A">
      <w:pPr>
        <w:spacing w:after="0" w:line="240" w:lineRule="auto"/>
        <w:jc w:val="both"/>
        <w:rPr>
          <w:rFonts w:ascii="Arial" w:hAnsi="Arial" w:cs="Arial"/>
          <w:sz w:val="20"/>
          <w:szCs w:val="20"/>
          <w:lang w:val="es-MX"/>
        </w:rPr>
      </w:pPr>
    </w:p>
    <w:p w14:paraId="29A7FB51" w14:textId="77777777" w:rsidR="007A4DBE" w:rsidRPr="00111AE0" w:rsidRDefault="00C3298A" w:rsidP="00C3298A">
      <w:pPr>
        <w:spacing w:after="0" w:line="240" w:lineRule="auto"/>
        <w:jc w:val="both"/>
        <w:rPr>
          <w:rFonts w:ascii="Arial" w:hAnsi="Arial" w:cs="Arial"/>
          <w:sz w:val="20"/>
          <w:szCs w:val="20"/>
          <w:lang w:val="es-MX"/>
        </w:rPr>
      </w:pPr>
      <w:r w:rsidRPr="00111AE0">
        <w:rPr>
          <w:rFonts w:ascii="Arial" w:hAnsi="Arial" w:cs="Arial"/>
          <w:sz w:val="20"/>
          <w:szCs w:val="20"/>
          <w:lang w:val="es-MX"/>
        </w:rPr>
        <w:t>De igual forma, se aclara que no se excluye a Proactiva Aguas de Tunja ya que la empresa asume un nivel de costos igual que todas las empresas, y la tarifa estipulada en el contrato sigue la metodología tarifaria vigente expedida por la CRA.</w:t>
      </w:r>
    </w:p>
    <w:p w14:paraId="2C6127EC" w14:textId="77777777" w:rsidR="00111AE0" w:rsidRPr="00111AE0" w:rsidRDefault="00111AE0" w:rsidP="00111AE0">
      <w:pPr>
        <w:spacing w:after="0" w:line="240" w:lineRule="auto"/>
        <w:jc w:val="both"/>
        <w:rPr>
          <w:rFonts w:ascii="Arial" w:hAnsi="Arial" w:cs="Arial"/>
          <w:sz w:val="20"/>
          <w:szCs w:val="20"/>
          <w:lang w:val="es-MX"/>
        </w:rPr>
      </w:pPr>
    </w:p>
    <w:p w14:paraId="264545E1" w14:textId="77777777" w:rsidR="00111AE0" w:rsidRPr="00111AE0" w:rsidRDefault="00111AE0" w:rsidP="00111AE0">
      <w:pPr>
        <w:spacing w:after="0" w:line="240" w:lineRule="auto"/>
        <w:jc w:val="both"/>
        <w:rPr>
          <w:rFonts w:ascii="Arial" w:hAnsi="Arial" w:cs="Arial"/>
          <w:sz w:val="20"/>
          <w:szCs w:val="20"/>
          <w:lang w:val="es-MX"/>
        </w:rPr>
      </w:pPr>
      <w:r w:rsidRPr="00111AE0">
        <w:rPr>
          <w:rFonts w:ascii="Arial" w:hAnsi="Arial" w:cs="Arial"/>
          <w:sz w:val="20"/>
          <w:szCs w:val="20"/>
          <w:lang w:val="es-MX"/>
        </w:rPr>
        <w:t>De igual forma, teniendo en cuenta que el parágrafo 6 de los artículos 26 y 33 de la Resolución CRA 688 de 2014 establece que el P</w:t>
      </w:r>
      <w:r w:rsidRPr="00111AE0">
        <w:rPr>
          <w:rFonts w:ascii="Arial" w:hAnsi="Arial" w:cs="Arial"/>
          <w:sz w:val="20"/>
          <w:szCs w:val="20"/>
          <w:vertAlign w:val="subscript"/>
          <w:lang w:val="es-MX"/>
        </w:rPr>
        <w:t>DEA</w:t>
      </w:r>
      <w:r w:rsidRPr="00111AE0">
        <w:rPr>
          <w:rFonts w:ascii="Arial" w:hAnsi="Arial" w:cs="Arial"/>
          <w:sz w:val="20"/>
          <w:szCs w:val="20"/>
          <w:lang w:val="es-MX"/>
        </w:rPr>
        <w:t xml:space="preserve"> de las empresas del segundo segmento, que opten por aplicar la metodología del primer segmento, se calculará sin modificar los puntajes de las APS pertenecientes al grupo básico, se correrá el modelo DEA solo con la información de las empresas que correspondan al primer segmento. Luego, se les aplicará el modelo DEA a las empresas del segundo segmento sin afectar el puntaje de las demás empresas.</w:t>
      </w:r>
    </w:p>
    <w:p w14:paraId="4A96849B" w14:textId="77777777" w:rsidR="002D4BE0" w:rsidRPr="00111AE0" w:rsidRDefault="002D4BE0" w:rsidP="00C3298A">
      <w:pPr>
        <w:spacing w:after="0" w:line="240" w:lineRule="auto"/>
        <w:jc w:val="both"/>
        <w:rPr>
          <w:rFonts w:ascii="Arial" w:hAnsi="Arial" w:cs="Arial"/>
          <w:sz w:val="20"/>
          <w:szCs w:val="20"/>
          <w:lang w:val="es-MX"/>
        </w:rPr>
      </w:pPr>
    </w:p>
    <w:p w14:paraId="0B6A0D2C" w14:textId="77777777" w:rsidR="002D4BE0" w:rsidRPr="002A470D" w:rsidRDefault="00111AE0" w:rsidP="002D4BE0">
      <w:pPr>
        <w:spacing w:after="0" w:line="240" w:lineRule="auto"/>
        <w:jc w:val="both"/>
        <w:rPr>
          <w:rFonts w:ascii="Arial" w:hAnsi="Arial" w:cs="Arial"/>
          <w:sz w:val="20"/>
          <w:szCs w:val="20"/>
          <w:lang w:val="es-CO" w:eastAsia="es-CO"/>
        </w:rPr>
      </w:pPr>
      <w:r>
        <w:rPr>
          <w:rFonts w:ascii="Arial" w:hAnsi="Arial" w:cs="Arial"/>
          <w:sz w:val="20"/>
          <w:szCs w:val="20"/>
          <w:lang w:val="es-MX"/>
        </w:rPr>
        <w:t>Finalmente</w:t>
      </w:r>
      <w:r w:rsidR="002D4BE0">
        <w:rPr>
          <w:rFonts w:ascii="Arial" w:hAnsi="Arial" w:cs="Arial"/>
          <w:sz w:val="20"/>
          <w:szCs w:val="20"/>
          <w:lang w:val="es-MX"/>
        </w:rPr>
        <w:t>, en relación con aquellas personas prestadora que no hacen parte del grupo básico, s</w:t>
      </w:r>
      <w:r w:rsidR="002D4BE0" w:rsidRPr="002A470D">
        <w:rPr>
          <w:rFonts w:ascii="Arial" w:hAnsi="Arial" w:cs="Arial"/>
          <w:sz w:val="20"/>
          <w:szCs w:val="20"/>
          <w:lang w:val="es-CO" w:eastAsia="es-CO"/>
        </w:rPr>
        <w:t xml:space="preserve">e aclara que en la resolución definitiva se establecerá una fecha de aplicación de las nuevas tarifas que otorgue un plazo para que los que no entraron en el grupo básico, cumplan </w:t>
      </w:r>
      <w:r w:rsidR="002D4BE0" w:rsidRPr="002A470D">
        <w:rPr>
          <w:rFonts w:ascii="Arial" w:hAnsi="Arial" w:cs="Arial"/>
          <w:sz w:val="20"/>
          <w:szCs w:val="20"/>
        </w:rPr>
        <w:t>con los parámetros mínimos establecidos en el numeral 1 del Anexo II de la Resolución CRA 688 de 2014 y presenten las justificaciones correspondientes a los datos atípicos encontrados en la información para el cálculo del P</w:t>
      </w:r>
      <w:r w:rsidR="002D4BE0" w:rsidRPr="002A470D">
        <w:rPr>
          <w:rFonts w:ascii="Arial" w:hAnsi="Arial" w:cs="Arial"/>
          <w:sz w:val="20"/>
          <w:szCs w:val="20"/>
          <w:vertAlign w:val="subscript"/>
        </w:rPr>
        <w:t>DEA</w:t>
      </w:r>
      <w:r w:rsidR="002D4BE0" w:rsidRPr="002A470D">
        <w:rPr>
          <w:rFonts w:ascii="Arial" w:hAnsi="Arial" w:cs="Arial"/>
          <w:sz w:val="20"/>
          <w:szCs w:val="20"/>
        </w:rPr>
        <w:t xml:space="preserve"> en el periodo 2010-2014</w:t>
      </w:r>
      <w:r w:rsidR="002D4BE0" w:rsidRPr="002A470D">
        <w:rPr>
          <w:rFonts w:ascii="Arial" w:hAnsi="Arial" w:cs="Arial"/>
          <w:sz w:val="20"/>
          <w:szCs w:val="20"/>
          <w:lang w:val="es-CO" w:eastAsia="es-CO"/>
        </w:rPr>
        <w:t>, puedan hacer la solicitud particular de cálculo del DEA.</w:t>
      </w:r>
    </w:p>
    <w:p w14:paraId="7E8802CF" w14:textId="77777777" w:rsidR="003E61D0" w:rsidRDefault="003E61D0" w:rsidP="00744C19">
      <w:pPr>
        <w:spacing w:after="0" w:line="240" w:lineRule="auto"/>
        <w:jc w:val="both"/>
        <w:rPr>
          <w:rFonts w:ascii="Arial" w:hAnsi="Arial" w:cs="Arial"/>
          <w:sz w:val="20"/>
          <w:szCs w:val="20"/>
          <w:lang w:val="es-MX"/>
        </w:rPr>
      </w:pPr>
    </w:p>
    <w:p w14:paraId="42E0B762" w14:textId="77777777" w:rsidR="003E61D0" w:rsidRDefault="003E61D0" w:rsidP="00744C19">
      <w:pPr>
        <w:spacing w:after="0" w:line="240" w:lineRule="auto"/>
        <w:jc w:val="both"/>
        <w:rPr>
          <w:rFonts w:ascii="Arial" w:hAnsi="Arial" w:cs="Arial"/>
          <w:sz w:val="20"/>
          <w:szCs w:val="20"/>
          <w:lang w:val="es-MX"/>
        </w:rPr>
      </w:pPr>
    </w:p>
    <w:p w14:paraId="41E811EE" w14:textId="77777777" w:rsidR="003E61D0" w:rsidRDefault="003E61D0" w:rsidP="009C553A">
      <w:pPr>
        <w:pStyle w:val="Ttulo2"/>
      </w:pPr>
      <w:bookmarkStart w:id="11" w:name="_Toc506988580"/>
      <w:r>
        <w:t>RESPUESTA No.</w:t>
      </w:r>
      <w:r w:rsidRPr="00097873">
        <w:fldChar w:fldCharType="begin"/>
      </w:r>
      <w:r w:rsidRPr="00097873">
        <w:instrText xml:space="preserve"> SEQ RESPUESTA_N. \* ARABIC </w:instrText>
      </w:r>
      <w:r w:rsidRPr="00097873">
        <w:fldChar w:fldCharType="separate"/>
      </w:r>
      <w:r w:rsidR="009C553A">
        <w:rPr>
          <w:noProof/>
        </w:rPr>
        <w:t>2</w:t>
      </w:r>
      <w:r w:rsidRPr="00097873">
        <w:fldChar w:fldCharType="end"/>
      </w:r>
      <w:r w:rsidRPr="00097873">
        <w:t xml:space="preserve">. </w:t>
      </w:r>
      <w:r w:rsidR="009C553A" w:rsidRPr="009C553A">
        <w:t>DATOS ATÍPICOS</w:t>
      </w:r>
      <w:bookmarkEnd w:id="11"/>
    </w:p>
    <w:p w14:paraId="7F049D71" w14:textId="77777777" w:rsidR="00B37730" w:rsidRPr="003C4A91" w:rsidRDefault="00B37730" w:rsidP="003C4A91">
      <w:pPr>
        <w:spacing w:after="0" w:line="240" w:lineRule="auto"/>
        <w:jc w:val="both"/>
        <w:rPr>
          <w:rFonts w:ascii="Arial" w:hAnsi="Arial" w:cs="Arial"/>
          <w:sz w:val="20"/>
          <w:szCs w:val="20"/>
        </w:rPr>
      </w:pPr>
    </w:p>
    <w:p w14:paraId="6F18EAEA" w14:textId="77777777" w:rsidR="00B37730" w:rsidRDefault="00B37730" w:rsidP="003C4A91">
      <w:pPr>
        <w:spacing w:after="0" w:line="240" w:lineRule="auto"/>
        <w:jc w:val="both"/>
        <w:rPr>
          <w:rFonts w:ascii="Arial" w:hAnsi="Arial" w:cs="Arial"/>
          <w:sz w:val="20"/>
          <w:szCs w:val="20"/>
        </w:rPr>
      </w:pPr>
      <w:r w:rsidRPr="003C4A91">
        <w:rPr>
          <w:rFonts w:ascii="Arial" w:hAnsi="Arial" w:cs="Arial"/>
          <w:sz w:val="20"/>
          <w:szCs w:val="20"/>
        </w:rPr>
        <w:t>Por medio de la Resolución CRA 782 de 2016 se otorgó un plazo de 1 mes para justificar los atípicos de la información reportada para el cálculo del DEA, así mismo la CRA remitió comunicaciones a los representantes legales de las 22 empresas objeto de cálculo del DEA informando que dicho plazo vencía el 22 de enero del presente año. Por lo anterior, desde esa fecha se encuentra vencido el plazo para justificar de datos atípicos.</w:t>
      </w:r>
      <w:r w:rsidR="00A75150">
        <w:rPr>
          <w:rFonts w:ascii="Arial" w:hAnsi="Arial" w:cs="Arial"/>
          <w:sz w:val="20"/>
          <w:szCs w:val="20"/>
        </w:rPr>
        <w:t xml:space="preserve"> </w:t>
      </w:r>
      <w:r w:rsidRPr="003C4A91">
        <w:rPr>
          <w:rFonts w:ascii="Arial" w:hAnsi="Arial" w:cs="Arial"/>
          <w:sz w:val="20"/>
          <w:szCs w:val="20"/>
        </w:rPr>
        <w:t xml:space="preserve">Así </w:t>
      </w:r>
      <w:r w:rsidRPr="003C4A91">
        <w:rPr>
          <w:rFonts w:ascii="Arial" w:hAnsi="Arial" w:cs="Arial"/>
          <w:sz w:val="20"/>
          <w:szCs w:val="20"/>
        </w:rPr>
        <w:lastRenderedPageBreak/>
        <w:t>mismo</w:t>
      </w:r>
      <w:r w:rsidR="00A75150">
        <w:rPr>
          <w:rFonts w:ascii="Arial" w:hAnsi="Arial" w:cs="Arial"/>
          <w:sz w:val="20"/>
          <w:szCs w:val="20"/>
        </w:rPr>
        <w:t>, se</w:t>
      </w:r>
      <w:r w:rsidRPr="003C4A91">
        <w:rPr>
          <w:rFonts w:ascii="Arial" w:hAnsi="Arial" w:cs="Arial"/>
          <w:sz w:val="20"/>
          <w:szCs w:val="20"/>
        </w:rPr>
        <w:t xml:space="preserve"> aclara que en el Anexo II de la Resolución CRA 688 de 2014, se estableció que los datos atípicos por errores de digitación se consideraban datos no justificables.</w:t>
      </w:r>
    </w:p>
    <w:p w14:paraId="29F8FE62" w14:textId="77777777" w:rsidR="003C4A91" w:rsidRDefault="003C4A91" w:rsidP="003C4A91">
      <w:pPr>
        <w:spacing w:after="0" w:line="240" w:lineRule="auto"/>
        <w:jc w:val="both"/>
        <w:rPr>
          <w:rFonts w:ascii="Arial" w:hAnsi="Arial" w:cs="Arial"/>
          <w:sz w:val="20"/>
          <w:szCs w:val="20"/>
        </w:rPr>
      </w:pPr>
    </w:p>
    <w:p w14:paraId="5043B451" w14:textId="77777777" w:rsidR="003C4A91" w:rsidRPr="003C4A91" w:rsidRDefault="003C4A91" w:rsidP="003C4A91">
      <w:pPr>
        <w:spacing w:after="0" w:line="240" w:lineRule="auto"/>
        <w:jc w:val="both"/>
        <w:rPr>
          <w:rFonts w:ascii="Arial" w:hAnsi="Arial" w:cs="Arial"/>
          <w:sz w:val="20"/>
          <w:szCs w:val="20"/>
        </w:rPr>
      </w:pPr>
      <w:r w:rsidRPr="00EB23D8">
        <w:rPr>
          <w:rFonts w:ascii="Arial" w:hAnsi="Arial" w:cs="Arial"/>
          <w:sz w:val="20"/>
          <w:szCs w:val="20"/>
        </w:rPr>
        <w:t xml:space="preserve">Ahora bien, en relación con </w:t>
      </w:r>
      <w:r w:rsidR="00822C69" w:rsidRPr="00EB23D8">
        <w:rPr>
          <w:rFonts w:ascii="Arial" w:hAnsi="Arial" w:cs="Arial"/>
          <w:sz w:val="20"/>
          <w:szCs w:val="20"/>
        </w:rPr>
        <w:t>las</w:t>
      </w:r>
      <w:r w:rsidRPr="00EB23D8">
        <w:rPr>
          <w:rFonts w:ascii="Arial" w:hAnsi="Arial" w:cs="Arial"/>
          <w:sz w:val="20"/>
          <w:szCs w:val="20"/>
        </w:rPr>
        <w:t xml:space="preserve"> observaciones mediante</w:t>
      </w:r>
      <w:r w:rsidR="00822C69" w:rsidRPr="00EB23D8">
        <w:rPr>
          <w:rFonts w:ascii="Arial" w:hAnsi="Arial" w:cs="Arial"/>
          <w:sz w:val="20"/>
          <w:szCs w:val="20"/>
        </w:rPr>
        <w:t xml:space="preserve"> la cual </w:t>
      </w:r>
      <w:r w:rsidRPr="00EB23D8">
        <w:rPr>
          <w:rFonts w:ascii="Arial" w:hAnsi="Arial" w:cs="Arial"/>
          <w:sz w:val="20"/>
          <w:szCs w:val="20"/>
        </w:rPr>
        <w:t xml:space="preserve">las empresas solicitan aclaración sobre el concepto </w:t>
      </w:r>
      <w:r w:rsidR="00822C69" w:rsidRPr="00EB23D8">
        <w:rPr>
          <w:rFonts w:ascii="Arial" w:hAnsi="Arial" w:cs="Arial"/>
          <w:sz w:val="20"/>
          <w:szCs w:val="20"/>
        </w:rPr>
        <w:t>emitido a</w:t>
      </w:r>
      <w:r w:rsidR="00106097" w:rsidRPr="00EB23D8">
        <w:rPr>
          <w:rFonts w:ascii="Arial" w:hAnsi="Arial" w:cs="Arial"/>
          <w:sz w:val="20"/>
          <w:szCs w:val="20"/>
        </w:rPr>
        <w:t xml:space="preserve"> </w:t>
      </w:r>
      <w:r w:rsidR="00822C69" w:rsidRPr="00EB23D8">
        <w:rPr>
          <w:rFonts w:ascii="Arial" w:hAnsi="Arial" w:cs="Arial"/>
          <w:sz w:val="20"/>
          <w:szCs w:val="20"/>
        </w:rPr>
        <w:t>los argumentos presentados por las mismas, s</w:t>
      </w:r>
      <w:r w:rsidRPr="00EB23D8">
        <w:rPr>
          <w:rFonts w:ascii="Arial" w:hAnsi="Arial" w:cs="Arial"/>
          <w:sz w:val="20"/>
          <w:szCs w:val="20"/>
        </w:rPr>
        <w:t>e complementó el documento de trabajo para explicar en mayor detalle el análisis de los datos atípicos.</w:t>
      </w:r>
    </w:p>
    <w:p w14:paraId="5069628A" w14:textId="77777777" w:rsidR="003E61D0" w:rsidRDefault="003E61D0" w:rsidP="00744C19">
      <w:pPr>
        <w:spacing w:after="0" w:line="240" w:lineRule="auto"/>
        <w:jc w:val="both"/>
        <w:rPr>
          <w:rFonts w:ascii="Arial" w:hAnsi="Arial" w:cs="Arial"/>
          <w:sz w:val="20"/>
          <w:szCs w:val="20"/>
          <w:lang w:val="es-MX"/>
        </w:rPr>
      </w:pPr>
    </w:p>
    <w:p w14:paraId="75F61D2C" w14:textId="77777777" w:rsidR="009C553A" w:rsidRDefault="009C553A" w:rsidP="009C553A">
      <w:pPr>
        <w:pStyle w:val="Ttulo2"/>
      </w:pPr>
      <w:bookmarkStart w:id="12" w:name="_Toc506988581"/>
      <w:r>
        <w:t>RESPUESTA No.</w:t>
      </w:r>
      <w:r w:rsidRPr="00097873">
        <w:fldChar w:fldCharType="begin"/>
      </w:r>
      <w:r w:rsidRPr="00097873">
        <w:instrText xml:space="preserve"> SEQ RESPUESTA_N. \* ARABIC </w:instrText>
      </w:r>
      <w:r w:rsidRPr="00097873">
        <w:fldChar w:fldCharType="separate"/>
      </w:r>
      <w:r>
        <w:rPr>
          <w:noProof/>
        </w:rPr>
        <w:t>3</w:t>
      </w:r>
      <w:r w:rsidRPr="00097873">
        <w:fldChar w:fldCharType="end"/>
      </w:r>
      <w:r w:rsidRPr="00097873">
        <w:t xml:space="preserve">. </w:t>
      </w:r>
      <w:r w:rsidRPr="009C553A">
        <w:t>ORIENTACIÓN DEL PROBLEMA</w:t>
      </w:r>
      <w:bookmarkEnd w:id="12"/>
    </w:p>
    <w:p w14:paraId="7DCA2767" w14:textId="77777777" w:rsidR="009E1DB5" w:rsidRDefault="009E1DB5" w:rsidP="00744C19">
      <w:pPr>
        <w:spacing w:after="0" w:line="240" w:lineRule="auto"/>
        <w:jc w:val="both"/>
        <w:rPr>
          <w:rFonts w:ascii="Arial" w:hAnsi="Arial" w:cs="Arial"/>
          <w:sz w:val="20"/>
          <w:szCs w:val="20"/>
          <w:highlight w:val="yellow"/>
          <w:lang w:val="es-MX"/>
        </w:rPr>
      </w:pPr>
    </w:p>
    <w:p w14:paraId="0A214E58" w14:textId="1B09DBAA" w:rsidR="004A7564" w:rsidRPr="007A64E4" w:rsidRDefault="009E1DB5" w:rsidP="007A64E4">
      <w:pPr>
        <w:pStyle w:val="Default"/>
        <w:jc w:val="both"/>
        <w:rPr>
          <w:sz w:val="20"/>
          <w:szCs w:val="20"/>
        </w:rPr>
      </w:pPr>
      <w:r w:rsidRPr="007A64E4">
        <w:rPr>
          <w:sz w:val="20"/>
          <w:szCs w:val="20"/>
          <w:lang w:val="es-MX"/>
        </w:rPr>
        <w:t xml:space="preserve">Al respecto, </w:t>
      </w:r>
      <w:r w:rsidR="004A7564" w:rsidRPr="007A64E4">
        <w:rPr>
          <w:sz w:val="20"/>
          <w:szCs w:val="20"/>
          <w:lang w:val="es-MX"/>
        </w:rPr>
        <w:t>se debe aclarar que de acuerdo con las observaciones recibidas en la participación ciudadana de la Resolución CRA 632 de 2013</w:t>
      </w:r>
      <w:r w:rsidR="002341B1">
        <w:rPr>
          <w:sz w:val="20"/>
          <w:szCs w:val="20"/>
          <w:lang w:val="es-MX"/>
        </w:rPr>
        <w:t>, la CRA señaló</w:t>
      </w:r>
      <w:r w:rsidR="004A7564" w:rsidRPr="007A64E4">
        <w:rPr>
          <w:sz w:val="20"/>
          <w:szCs w:val="20"/>
          <w:lang w:val="es-MX"/>
        </w:rPr>
        <w:t xml:space="preserve"> en el documento de respuesta </w:t>
      </w:r>
      <w:r w:rsidR="00BB4D6F">
        <w:rPr>
          <w:sz w:val="20"/>
          <w:szCs w:val="20"/>
          <w:lang w:val="es-MX"/>
        </w:rPr>
        <w:t>de la participación ciudadana de la Resolución CRA 688 de 2014</w:t>
      </w:r>
      <w:r w:rsidR="004A7564" w:rsidRPr="007A64E4">
        <w:rPr>
          <w:sz w:val="20"/>
          <w:szCs w:val="20"/>
          <w:lang w:val="es-MX"/>
        </w:rPr>
        <w:t xml:space="preserve">, que </w:t>
      </w:r>
      <w:r w:rsidR="004A7564" w:rsidRPr="007A64E4">
        <w:rPr>
          <w:color w:val="auto"/>
          <w:sz w:val="20"/>
          <w:szCs w:val="20"/>
        </w:rPr>
        <w:t>se realizaron dos cambios con respecto a la propuesta incluida e</w:t>
      </w:r>
      <w:r w:rsidR="004A7564" w:rsidRPr="007A64E4">
        <w:rPr>
          <w:sz w:val="20"/>
          <w:szCs w:val="20"/>
        </w:rPr>
        <w:t xml:space="preserve">n la Resolución CRA 632 de 2013: </w:t>
      </w:r>
    </w:p>
    <w:p w14:paraId="4817FEB6" w14:textId="77777777" w:rsidR="004A7564" w:rsidRPr="007A64E4" w:rsidRDefault="004A7564" w:rsidP="007A64E4">
      <w:pPr>
        <w:pStyle w:val="Default"/>
        <w:jc w:val="both"/>
        <w:rPr>
          <w:sz w:val="20"/>
          <w:szCs w:val="20"/>
        </w:rPr>
      </w:pPr>
    </w:p>
    <w:p w14:paraId="11E6AA42" w14:textId="405893D2" w:rsidR="007A64E4" w:rsidRPr="007A64E4" w:rsidRDefault="004A7564" w:rsidP="007A64E4">
      <w:pPr>
        <w:pStyle w:val="Default"/>
        <w:numPr>
          <w:ilvl w:val="0"/>
          <w:numId w:val="36"/>
        </w:numPr>
        <w:jc w:val="both"/>
        <w:rPr>
          <w:color w:val="auto"/>
          <w:sz w:val="20"/>
          <w:szCs w:val="20"/>
        </w:rPr>
      </w:pPr>
      <w:r w:rsidRPr="007A64E4">
        <w:rPr>
          <w:sz w:val="20"/>
          <w:szCs w:val="20"/>
        </w:rPr>
        <w:t xml:space="preserve">El primero, que no se </w:t>
      </w:r>
      <w:r w:rsidRPr="007A64E4">
        <w:rPr>
          <w:color w:val="auto"/>
          <w:sz w:val="20"/>
          <w:szCs w:val="20"/>
        </w:rPr>
        <w:t>realizar</w:t>
      </w:r>
      <w:r w:rsidRPr="007A64E4">
        <w:rPr>
          <w:sz w:val="20"/>
          <w:szCs w:val="20"/>
        </w:rPr>
        <w:t>á</w:t>
      </w:r>
      <w:r w:rsidRPr="007A64E4">
        <w:rPr>
          <w:color w:val="auto"/>
          <w:sz w:val="20"/>
          <w:szCs w:val="20"/>
        </w:rPr>
        <w:t xml:space="preserve"> la transformación de variables, empleada en la Resolución CRA 287 de 2004</w:t>
      </w:r>
      <w:r w:rsidR="007A64E4" w:rsidRPr="007A64E4">
        <w:rPr>
          <w:color w:val="auto"/>
          <w:sz w:val="20"/>
          <w:szCs w:val="20"/>
        </w:rPr>
        <w:t>,</w:t>
      </w:r>
      <w:r w:rsidRPr="007A64E4">
        <w:rPr>
          <w:sz w:val="20"/>
          <w:szCs w:val="20"/>
        </w:rPr>
        <w:t xml:space="preserve"> </w:t>
      </w:r>
      <w:r w:rsidR="007A64E4" w:rsidRPr="007A64E4">
        <w:rPr>
          <w:sz w:val="20"/>
          <w:szCs w:val="20"/>
        </w:rPr>
        <w:t>p</w:t>
      </w:r>
      <w:r w:rsidRPr="007A64E4">
        <w:rPr>
          <w:color w:val="auto"/>
          <w:sz w:val="20"/>
          <w:szCs w:val="20"/>
        </w:rPr>
        <w:t>or tanto, se define un solo insumo controlable (costos base) y varios productos administrativos y operativos</w:t>
      </w:r>
      <w:r w:rsidR="007A64E4" w:rsidRPr="007A64E4">
        <w:rPr>
          <w:color w:val="auto"/>
          <w:sz w:val="20"/>
          <w:szCs w:val="20"/>
        </w:rPr>
        <w:t xml:space="preserve">; </w:t>
      </w:r>
      <w:r w:rsidRPr="007A64E4">
        <w:rPr>
          <w:color w:val="auto"/>
          <w:sz w:val="20"/>
          <w:szCs w:val="20"/>
        </w:rPr>
        <w:t>y</w:t>
      </w:r>
      <w:r w:rsidR="007A64E4" w:rsidRPr="007A64E4">
        <w:rPr>
          <w:color w:val="auto"/>
          <w:sz w:val="20"/>
          <w:szCs w:val="20"/>
        </w:rPr>
        <w:t>,</w:t>
      </w:r>
    </w:p>
    <w:p w14:paraId="06AAB42C" w14:textId="60B079FD" w:rsidR="0058630C" w:rsidRPr="007A64E4" w:rsidRDefault="007A64E4" w:rsidP="007A64E4">
      <w:pPr>
        <w:pStyle w:val="Default"/>
        <w:numPr>
          <w:ilvl w:val="0"/>
          <w:numId w:val="36"/>
        </w:numPr>
        <w:jc w:val="both"/>
        <w:rPr>
          <w:color w:val="auto"/>
          <w:sz w:val="20"/>
          <w:szCs w:val="20"/>
        </w:rPr>
      </w:pPr>
      <w:r w:rsidRPr="007A64E4">
        <w:rPr>
          <w:color w:val="auto"/>
          <w:sz w:val="20"/>
          <w:szCs w:val="20"/>
        </w:rPr>
        <w:t xml:space="preserve">Segundo, se señaló que </w:t>
      </w:r>
      <w:r w:rsidRPr="007A64E4">
        <w:rPr>
          <w:i/>
          <w:color w:val="auto"/>
          <w:sz w:val="20"/>
          <w:szCs w:val="20"/>
        </w:rPr>
        <w:t>“…</w:t>
      </w:r>
      <w:r w:rsidR="004A7564" w:rsidRPr="007A64E4">
        <w:rPr>
          <w:i/>
          <w:color w:val="auto"/>
          <w:sz w:val="20"/>
          <w:szCs w:val="20"/>
        </w:rPr>
        <w:t xml:space="preserve">diferentes estimaciones del modelo DEA han mostrado que existen retornos variables a escala (RVE) en las empresas del sector. El supuesto de retornos constantes a escala (RCtE), establecido en la Resolución CRA 287 de 2004 y en la Resolución CRA 632 de 2013, es apropiado cuando todas las empresas operan a una escala óptima. Sin embargo, </w:t>
      </w:r>
      <w:r w:rsidR="004A7564" w:rsidRPr="007A64E4">
        <w:rPr>
          <w:i/>
          <w:iCs/>
          <w:color w:val="auto"/>
          <w:sz w:val="20"/>
          <w:szCs w:val="20"/>
        </w:rPr>
        <w:t xml:space="preserve">“la competencia imperfecta, las regulaciones gubernamentales, las limitaciones en la financiación, etc., podrían causar que una empresa no opere a una escala óptima” </w:t>
      </w:r>
      <w:r w:rsidR="004A7564" w:rsidRPr="007A64E4">
        <w:rPr>
          <w:i/>
          <w:color w:val="auto"/>
          <w:sz w:val="20"/>
          <w:szCs w:val="20"/>
        </w:rPr>
        <w:t>(Coelli, Prasada, O’Donnell &amp; Battese, 2005). Teniendo en cuenta esto, se abandona el supuesto de RCtE y se estimará el modelo bajo RVE para establecer cuál es el caso, si retornos constantes, crecientes o decrecientes con la información de cada una de las personas prestadoras</w:t>
      </w:r>
      <w:r w:rsidRPr="007A64E4">
        <w:rPr>
          <w:i/>
          <w:color w:val="auto"/>
          <w:sz w:val="20"/>
          <w:szCs w:val="20"/>
        </w:rPr>
        <w:t>”</w:t>
      </w:r>
      <w:r w:rsidRPr="007A64E4">
        <w:rPr>
          <w:color w:val="auto"/>
          <w:sz w:val="20"/>
          <w:szCs w:val="20"/>
        </w:rPr>
        <w:t>.</w:t>
      </w:r>
    </w:p>
    <w:p w14:paraId="5DDA5536" w14:textId="77777777" w:rsidR="0058630C" w:rsidRDefault="0058630C" w:rsidP="0072607D">
      <w:pPr>
        <w:spacing w:after="0" w:line="240" w:lineRule="auto"/>
        <w:jc w:val="both"/>
        <w:rPr>
          <w:rFonts w:ascii="Arial" w:hAnsi="Arial" w:cs="Arial"/>
          <w:sz w:val="20"/>
          <w:szCs w:val="20"/>
          <w:lang w:val="es-MX"/>
        </w:rPr>
      </w:pPr>
    </w:p>
    <w:p w14:paraId="4F569586" w14:textId="1E077CDF" w:rsidR="0072607D" w:rsidRDefault="004A7564" w:rsidP="0072607D">
      <w:pPr>
        <w:spacing w:after="0" w:line="240" w:lineRule="auto"/>
        <w:jc w:val="both"/>
        <w:rPr>
          <w:rFonts w:ascii="Arial" w:hAnsi="Arial" w:cs="Arial"/>
          <w:bCs/>
          <w:sz w:val="20"/>
          <w:szCs w:val="20"/>
          <w:lang w:val="es-CO"/>
        </w:rPr>
      </w:pPr>
      <w:r>
        <w:rPr>
          <w:rFonts w:ascii="Arial" w:hAnsi="Arial" w:cs="Arial"/>
          <w:sz w:val="20"/>
          <w:szCs w:val="20"/>
          <w:lang w:val="es-MX"/>
        </w:rPr>
        <w:t xml:space="preserve">En este sentido, </w:t>
      </w:r>
      <w:r w:rsidR="00EF55A3">
        <w:rPr>
          <w:rFonts w:ascii="Arial" w:hAnsi="Arial" w:cs="Arial"/>
          <w:sz w:val="20"/>
          <w:szCs w:val="20"/>
          <w:lang w:val="es-MX"/>
        </w:rPr>
        <w:t>en el Anexo II de</w:t>
      </w:r>
      <w:r w:rsidR="009E1DB5" w:rsidRPr="004434E9">
        <w:rPr>
          <w:rFonts w:ascii="Arial" w:hAnsi="Arial" w:cs="Arial"/>
          <w:sz w:val="20"/>
          <w:szCs w:val="20"/>
          <w:lang w:val="es-MX"/>
        </w:rPr>
        <w:t xml:space="preserve"> </w:t>
      </w:r>
      <w:r w:rsidR="00E564CA" w:rsidRPr="004434E9">
        <w:rPr>
          <w:rFonts w:ascii="Arial" w:hAnsi="Arial" w:cs="Arial"/>
          <w:sz w:val="20"/>
          <w:szCs w:val="20"/>
          <w:lang w:val="es-MX"/>
        </w:rPr>
        <w:t xml:space="preserve">la Resolución </w:t>
      </w:r>
      <w:r w:rsidR="00E564CA" w:rsidRPr="002C0958">
        <w:rPr>
          <w:rFonts w:ascii="Arial" w:hAnsi="Arial" w:cs="Arial"/>
          <w:sz w:val="20"/>
          <w:szCs w:val="20"/>
          <w:lang w:val="es-MX"/>
        </w:rPr>
        <w:t>CRA 688 de 2014</w:t>
      </w:r>
      <w:r w:rsidR="00E564CA" w:rsidRPr="004434E9">
        <w:rPr>
          <w:rFonts w:ascii="Arial" w:hAnsi="Arial" w:cs="Arial"/>
          <w:sz w:val="20"/>
          <w:szCs w:val="20"/>
          <w:lang w:val="es-MX"/>
        </w:rPr>
        <w:t xml:space="preserve"> </w:t>
      </w:r>
      <w:r w:rsidR="002C0958">
        <w:rPr>
          <w:rFonts w:ascii="Arial" w:hAnsi="Arial" w:cs="Arial"/>
          <w:sz w:val="20"/>
          <w:szCs w:val="20"/>
          <w:lang w:val="es-MX"/>
        </w:rPr>
        <w:t xml:space="preserve">se definió </w:t>
      </w:r>
      <w:r w:rsidR="00E564CA" w:rsidRPr="004434E9">
        <w:rPr>
          <w:rFonts w:ascii="Arial" w:hAnsi="Arial" w:cs="Arial"/>
          <w:sz w:val="20"/>
          <w:szCs w:val="20"/>
          <w:lang w:val="es-MX"/>
        </w:rPr>
        <w:t xml:space="preserve">que </w:t>
      </w:r>
      <w:r w:rsidR="00E564CA" w:rsidRPr="004434E9">
        <w:rPr>
          <w:rFonts w:ascii="Arial" w:hAnsi="Arial" w:cs="Arial"/>
          <w:i/>
          <w:sz w:val="20"/>
          <w:szCs w:val="20"/>
          <w:lang w:val="es-MX"/>
        </w:rPr>
        <w:t>“se utilizará el modelo básico de Banker, Charnes y Cooper (BCC) que permite orientar la aproximación a la frontera a través de la minimización del insumo bajo retornos variables a escala.</w:t>
      </w:r>
      <w:r w:rsidR="00E564CA" w:rsidRPr="004434E9">
        <w:rPr>
          <w:rFonts w:ascii="Arial" w:hAnsi="Arial" w:cs="Arial"/>
          <w:sz w:val="20"/>
          <w:szCs w:val="20"/>
          <w:lang w:val="es-MX"/>
        </w:rPr>
        <w:t>”</w:t>
      </w:r>
      <w:r w:rsidR="0072607D">
        <w:rPr>
          <w:rFonts w:ascii="Arial" w:hAnsi="Arial" w:cs="Arial"/>
          <w:sz w:val="20"/>
          <w:szCs w:val="20"/>
          <w:lang w:val="es-MX"/>
        </w:rPr>
        <w:t xml:space="preserve"> </w:t>
      </w:r>
      <w:r w:rsidR="002C0958">
        <w:rPr>
          <w:rFonts w:ascii="Arial" w:hAnsi="Arial" w:cs="Arial"/>
          <w:sz w:val="20"/>
          <w:szCs w:val="20"/>
          <w:lang w:val="es-MX"/>
        </w:rPr>
        <w:t>De modo que</w:t>
      </w:r>
      <w:r w:rsidR="0072607D">
        <w:rPr>
          <w:rFonts w:ascii="Arial" w:hAnsi="Arial" w:cs="Arial"/>
          <w:sz w:val="20"/>
          <w:szCs w:val="20"/>
          <w:lang w:val="es-MX"/>
        </w:rPr>
        <w:t xml:space="preserve">, </w:t>
      </w:r>
      <w:r w:rsidR="00C27907">
        <w:rPr>
          <w:rFonts w:ascii="Arial" w:hAnsi="Arial" w:cs="Arial"/>
          <w:sz w:val="20"/>
          <w:szCs w:val="20"/>
          <w:lang w:val="es-MX"/>
        </w:rPr>
        <w:t>en el mencionado anexo</w:t>
      </w:r>
      <w:r w:rsidR="002C0958">
        <w:rPr>
          <w:rFonts w:ascii="Arial" w:hAnsi="Arial" w:cs="Arial"/>
          <w:sz w:val="20"/>
          <w:szCs w:val="20"/>
          <w:lang w:val="es-MX"/>
        </w:rPr>
        <w:t>,</w:t>
      </w:r>
      <w:r w:rsidR="00C27907">
        <w:rPr>
          <w:rFonts w:ascii="Arial" w:hAnsi="Arial" w:cs="Arial"/>
          <w:sz w:val="20"/>
          <w:szCs w:val="20"/>
          <w:lang w:val="es-MX"/>
        </w:rPr>
        <w:t xml:space="preserve"> se incluyó</w:t>
      </w:r>
      <w:r w:rsidR="0072607D" w:rsidRPr="0072607D">
        <w:rPr>
          <w:rFonts w:ascii="Arial" w:hAnsi="Arial" w:cs="Arial"/>
          <w:b/>
          <w:bCs/>
          <w:sz w:val="20"/>
          <w:szCs w:val="20"/>
        </w:rPr>
        <w:t xml:space="preserve"> l</w:t>
      </w:r>
      <w:r w:rsidR="0072607D" w:rsidRPr="002C0958">
        <w:rPr>
          <w:rFonts w:ascii="Arial" w:hAnsi="Arial" w:cs="Arial"/>
          <w:bCs/>
          <w:sz w:val="20"/>
          <w:szCs w:val="20"/>
        </w:rPr>
        <w:t>a metodología del cálculo, se defi</w:t>
      </w:r>
      <w:r w:rsidR="002C0958" w:rsidRPr="002C0958">
        <w:rPr>
          <w:rFonts w:ascii="Arial" w:hAnsi="Arial" w:cs="Arial"/>
          <w:bCs/>
          <w:sz w:val="20"/>
          <w:szCs w:val="20"/>
        </w:rPr>
        <w:t>ni</w:t>
      </w:r>
      <w:r w:rsidR="00C27907" w:rsidRPr="002C0958">
        <w:rPr>
          <w:rFonts w:ascii="Arial" w:hAnsi="Arial" w:cs="Arial"/>
          <w:bCs/>
          <w:sz w:val="20"/>
          <w:szCs w:val="20"/>
        </w:rPr>
        <w:t>eron</w:t>
      </w:r>
      <w:r w:rsidR="0072607D" w:rsidRPr="002C0958">
        <w:rPr>
          <w:rFonts w:ascii="Arial" w:hAnsi="Arial" w:cs="Arial"/>
          <w:bCs/>
          <w:sz w:val="20"/>
          <w:szCs w:val="20"/>
        </w:rPr>
        <w:t xml:space="preserve"> los parámetros de inclusión al modelo</w:t>
      </w:r>
      <w:r w:rsidR="00EF55A3" w:rsidRPr="002C0958">
        <w:rPr>
          <w:rFonts w:ascii="Arial" w:hAnsi="Arial" w:cs="Arial"/>
          <w:bCs/>
          <w:sz w:val="20"/>
          <w:szCs w:val="20"/>
        </w:rPr>
        <w:t xml:space="preserve"> y </w:t>
      </w:r>
      <w:r w:rsidR="0072607D" w:rsidRPr="002C0958">
        <w:rPr>
          <w:rFonts w:ascii="Arial" w:hAnsi="Arial" w:cs="Arial"/>
          <w:bCs/>
          <w:sz w:val="20"/>
          <w:szCs w:val="20"/>
        </w:rPr>
        <w:t>la consistencia de la información reportada al SUI</w:t>
      </w:r>
      <w:r w:rsidR="00EF55A3" w:rsidRPr="002C0958">
        <w:rPr>
          <w:rFonts w:ascii="Arial" w:hAnsi="Arial" w:cs="Arial"/>
          <w:bCs/>
          <w:sz w:val="20"/>
          <w:szCs w:val="20"/>
        </w:rPr>
        <w:t xml:space="preserve">. </w:t>
      </w:r>
      <w:r w:rsidR="002C0958" w:rsidRPr="002C0958">
        <w:rPr>
          <w:rFonts w:ascii="Arial" w:hAnsi="Arial" w:cs="Arial"/>
          <w:bCs/>
          <w:sz w:val="20"/>
          <w:szCs w:val="20"/>
        </w:rPr>
        <w:t>Igualmente</w:t>
      </w:r>
      <w:r w:rsidR="00EF55A3" w:rsidRPr="002C0958">
        <w:rPr>
          <w:rFonts w:ascii="Arial" w:hAnsi="Arial" w:cs="Arial"/>
          <w:bCs/>
          <w:sz w:val="20"/>
          <w:szCs w:val="20"/>
        </w:rPr>
        <w:t xml:space="preserve">, se </w:t>
      </w:r>
      <w:r w:rsidR="002C0958" w:rsidRPr="002C0958">
        <w:rPr>
          <w:rFonts w:ascii="Arial" w:hAnsi="Arial" w:cs="Arial"/>
          <w:bCs/>
          <w:sz w:val="20"/>
          <w:szCs w:val="20"/>
          <w:lang w:val="es-CO"/>
        </w:rPr>
        <w:t>incluyó</w:t>
      </w:r>
      <w:r w:rsidR="0072607D" w:rsidRPr="002C0958">
        <w:rPr>
          <w:rFonts w:ascii="Arial" w:hAnsi="Arial" w:cs="Arial"/>
          <w:bCs/>
          <w:sz w:val="20"/>
          <w:szCs w:val="20"/>
          <w:lang w:val="es-CO"/>
        </w:rPr>
        <w:t xml:space="preserve"> la fuente de información de las variables y se establec</w:t>
      </w:r>
      <w:r w:rsidR="002C0958" w:rsidRPr="002C0958">
        <w:rPr>
          <w:rFonts w:ascii="Arial" w:hAnsi="Arial" w:cs="Arial"/>
          <w:bCs/>
          <w:sz w:val="20"/>
          <w:szCs w:val="20"/>
          <w:lang w:val="es-CO"/>
        </w:rPr>
        <w:t>ió</w:t>
      </w:r>
      <w:r w:rsidR="0072607D" w:rsidRPr="002C0958">
        <w:rPr>
          <w:rFonts w:ascii="Arial" w:hAnsi="Arial" w:cs="Arial"/>
          <w:bCs/>
          <w:sz w:val="20"/>
          <w:szCs w:val="20"/>
          <w:lang w:val="es-CO"/>
        </w:rPr>
        <w:t xml:space="preserve"> el envío de un Excel para que los prestadores puedan revisar la información reportada al SUI. </w:t>
      </w:r>
    </w:p>
    <w:p w14:paraId="47B3204D" w14:textId="77777777" w:rsidR="003A336B" w:rsidRDefault="003A336B" w:rsidP="0072607D">
      <w:pPr>
        <w:spacing w:after="0" w:line="240" w:lineRule="auto"/>
        <w:jc w:val="both"/>
        <w:rPr>
          <w:rFonts w:ascii="Arial" w:hAnsi="Arial" w:cs="Arial"/>
          <w:bCs/>
          <w:sz w:val="20"/>
          <w:szCs w:val="20"/>
          <w:lang w:val="es-CO"/>
        </w:rPr>
      </w:pPr>
    </w:p>
    <w:p w14:paraId="3DEB1605" w14:textId="77777777" w:rsidR="003A336B" w:rsidRDefault="00DA348C" w:rsidP="0072607D">
      <w:pPr>
        <w:spacing w:after="0" w:line="240" w:lineRule="auto"/>
        <w:jc w:val="both"/>
        <w:rPr>
          <w:rFonts w:ascii="Arial" w:hAnsi="Arial" w:cs="Arial"/>
          <w:sz w:val="20"/>
          <w:szCs w:val="20"/>
          <w:lang w:val="es-CO"/>
        </w:rPr>
      </w:pPr>
      <w:r>
        <w:rPr>
          <w:rFonts w:ascii="Arial" w:hAnsi="Arial" w:cs="Arial"/>
          <w:sz w:val="20"/>
          <w:szCs w:val="20"/>
          <w:lang w:val="es-CO"/>
        </w:rPr>
        <w:t>De igual forma, se debe tener en cuenta que la metodología</w:t>
      </w:r>
      <w:r w:rsidR="003A336B" w:rsidRPr="003A336B">
        <w:rPr>
          <w:rFonts w:ascii="Arial" w:hAnsi="Arial" w:cs="Arial"/>
          <w:sz w:val="20"/>
          <w:szCs w:val="20"/>
          <w:lang w:val="es-CO"/>
        </w:rPr>
        <w:t xml:space="preserve"> DEA es un método basado en la programación lineal, que no requiere supuestos sobre la forma de las funciones de producción y/o de costos, es decir, es un método no-paramétrico dirigido a fronteras y no a medidas de tendencia central. Así, la metodología DEA usa métodos de programación lineal para construir una frontera no paramétrica lineal aprovechando los datos disponibles sobre insumos y productos de las empresas (unidades comparables), sin que sea necesario especificar una forma funcional para las relaciones entre dichos insumos y dichos productos.</w:t>
      </w:r>
    </w:p>
    <w:p w14:paraId="7EB894CE" w14:textId="77777777" w:rsidR="00DA348C" w:rsidRDefault="00DA348C" w:rsidP="0072607D">
      <w:pPr>
        <w:spacing w:after="0" w:line="240" w:lineRule="auto"/>
        <w:jc w:val="both"/>
        <w:rPr>
          <w:rFonts w:ascii="Arial" w:hAnsi="Arial" w:cs="Arial"/>
          <w:sz w:val="20"/>
          <w:szCs w:val="20"/>
          <w:lang w:val="es-CO"/>
        </w:rPr>
      </w:pPr>
    </w:p>
    <w:p w14:paraId="0A319E9F" w14:textId="77777777" w:rsidR="003E61D0" w:rsidRDefault="009E1DB5" w:rsidP="00744C19">
      <w:pPr>
        <w:spacing w:after="0" w:line="240" w:lineRule="auto"/>
        <w:jc w:val="both"/>
        <w:rPr>
          <w:rFonts w:ascii="Arial" w:hAnsi="Arial" w:cs="Arial"/>
          <w:sz w:val="20"/>
          <w:szCs w:val="20"/>
        </w:rPr>
      </w:pPr>
      <w:r>
        <w:rPr>
          <w:rFonts w:ascii="Arial" w:hAnsi="Arial" w:cs="Arial"/>
          <w:sz w:val="20"/>
          <w:szCs w:val="20"/>
        </w:rPr>
        <w:t>Ahora bien, l</w:t>
      </w:r>
      <w:r w:rsidR="002C33FC" w:rsidRPr="00E459A4">
        <w:rPr>
          <w:rFonts w:ascii="Arial" w:hAnsi="Arial" w:cs="Arial"/>
          <w:sz w:val="20"/>
          <w:szCs w:val="20"/>
        </w:rPr>
        <w:t>a aplicación del DEA</w:t>
      </w:r>
      <w:r w:rsidR="002C33FC">
        <w:rPr>
          <w:rFonts w:ascii="Arial" w:hAnsi="Arial" w:cs="Arial"/>
          <w:sz w:val="20"/>
          <w:szCs w:val="20"/>
        </w:rPr>
        <w:t>, para medir la eficiencia de los costos de Administración y Operación comparables,</w:t>
      </w:r>
      <w:r w:rsidR="002C33FC" w:rsidRPr="00E459A4">
        <w:rPr>
          <w:rFonts w:ascii="Arial" w:hAnsi="Arial" w:cs="Arial"/>
          <w:sz w:val="20"/>
          <w:szCs w:val="20"/>
        </w:rPr>
        <w:t xml:space="preserve"> </w:t>
      </w:r>
      <w:r w:rsidR="002C33FC">
        <w:rPr>
          <w:rFonts w:ascii="Arial" w:hAnsi="Arial" w:cs="Arial"/>
          <w:sz w:val="20"/>
          <w:szCs w:val="20"/>
        </w:rPr>
        <w:t xml:space="preserve">se empezó a usar a partir de la aplicación de la metodología tarifaria establecida mediante </w:t>
      </w:r>
      <w:r w:rsidR="002C33FC" w:rsidRPr="002A4A0F">
        <w:rPr>
          <w:rFonts w:ascii="Arial" w:hAnsi="Arial" w:cs="Arial"/>
          <w:sz w:val="20"/>
          <w:szCs w:val="20"/>
        </w:rPr>
        <w:t>la Resolución CRA 287 de</w:t>
      </w:r>
      <w:r w:rsidR="002C33FC">
        <w:rPr>
          <w:rFonts w:ascii="Arial" w:hAnsi="Arial" w:cs="Arial"/>
          <w:sz w:val="20"/>
          <w:szCs w:val="20"/>
        </w:rPr>
        <w:t>l 25 de mayo del</w:t>
      </w:r>
      <w:r w:rsidR="002C33FC" w:rsidRPr="002A4A0F">
        <w:rPr>
          <w:rFonts w:ascii="Arial" w:hAnsi="Arial" w:cs="Arial"/>
          <w:sz w:val="20"/>
          <w:szCs w:val="20"/>
        </w:rPr>
        <w:t xml:space="preserve"> 2004</w:t>
      </w:r>
      <w:r w:rsidR="002C33FC" w:rsidRPr="00E459A4">
        <w:rPr>
          <w:rStyle w:val="Refdenotaalpie"/>
          <w:rFonts w:ascii="Arial" w:hAnsi="Arial" w:cs="Arial"/>
          <w:sz w:val="20"/>
          <w:szCs w:val="20"/>
        </w:rPr>
        <w:footnoteReference w:id="4"/>
      </w:r>
      <w:r w:rsidR="002C33FC" w:rsidRPr="002A4A0F">
        <w:rPr>
          <w:rFonts w:ascii="Arial" w:hAnsi="Arial" w:cs="Arial"/>
          <w:sz w:val="20"/>
          <w:szCs w:val="20"/>
        </w:rPr>
        <w:t>. El modelo buscaba</w:t>
      </w:r>
      <w:r w:rsidR="002C33FC">
        <w:rPr>
          <w:rFonts w:ascii="Arial" w:hAnsi="Arial" w:cs="Arial"/>
          <w:sz w:val="20"/>
          <w:szCs w:val="20"/>
        </w:rPr>
        <w:t xml:space="preserve"> generar una comparación</w:t>
      </w:r>
      <w:r w:rsidR="002C33FC" w:rsidRPr="00627A66">
        <w:rPr>
          <w:rFonts w:ascii="Arial" w:hAnsi="Arial" w:cs="Arial"/>
          <w:sz w:val="20"/>
          <w:szCs w:val="20"/>
        </w:rPr>
        <w:t xml:space="preserve"> entre los prestadores </w:t>
      </w:r>
      <w:r w:rsidR="002C33FC">
        <w:rPr>
          <w:rFonts w:ascii="Arial" w:hAnsi="Arial" w:cs="Arial"/>
          <w:sz w:val="20"/>
          <w:szCs w:val="20"/>
        </w:rPr>
        <w:t>de estos servicios,</w:t>
      </w:r>
      <w:r w:rsidR="002C33FC" w:rsidRPr="00627A66">
        <w:rPr>
          <w:rFonts w:ascii="Arial" w:hAnsi="Arial" w:cs="Arial"/>
          <w:sz w:val="20"/>
          <w:szCs w:val="20"/>
        </w:rPr>
        <w:t xml:space="preserve"> por excelencia monopólico</w:t>
      </w:r>
      <w:r w:rsidR="002C33FC">
        <w:rPr>
          <w:rFonts w:ascii="Arial" w:hAnsi="Arial" w:cs="Arial"/>
          <w:sz w:val="20"/>
          <w:szCs w:val="20"/>
        </w:rPr>
        <w:t xml:space="preserve">s, con el fin de </w:t>
      </w:r>
      <w:r w:rsidR="002C33FC" w:rsidRPr="00627A66">
        <w:rPr>
          <w:rFonts w:ascii="Arial" w:hAnsi="Arial" w:cs="Arial"/>
          <w:sz w:val="20"/>
          <w:szCs w:val="20"/>
        </w:rPr>
        <w:t xml:space="preserve">reflejar costos eficientes de prestación </w:t>
      </w:r>
      <w:r w:rsidR="002C33FC">
        <w:rPr>
          <w:rFonts w:ascii="Arial" w:hAnsi="Arial" w:cs="Arial"/>
          <w:sz w:val="20"/>
          <w:szCs w:val="20"/>
        </w:rPr>
        <w:t>que beneficien a los usuarios de los mismos.</w:t>
      </w:r>
    </w:p>
    <w:p w14:paraId="2C9EEFF0" w14:textId="77777777" w:rsidR="002C33FC" w:rsidRDefault="002C33FC" w:rsidP="00744C19">
      <w:pPr>
        <w:spacing w:after="0" w:line="240" w:lineRule="auto"/>
        <w:jc w:val="both"/>
        <w:rPr>
          <w:rFonts w:ascii="Arial" w:hAnsi="Arial" w:cs="Arial"/>
          <w:sz w:val="20"/>
          <w:szCs w:val="20"/>
        </w:rPr>
      </w:pPr>
    </w:p>
    <w:p w14:paraId="68678A2D" w14:textId="77777777" w:rsidR="002C33FC" w:rsidRPr="00A016F3" w:rsidRDefault="002C33FC" w:rsidP="002C33FC">
      <w:pPr>
        <w:spacing w:after="0" w:line="240" w:lineRule="auto"/>
        <w:jc w:val="both"/>
        <w:rPr>
          <w:rFonts w:ascii="Arial" w:hAnsi="Arial" w:cs="Arial"/>
          <w:bCs/>
          <w:sz w:val="20"/>
          <w:szCs w:val="20"/>
        </w:rPr>
      </w:pPr>
      <w:r w:rsidRPr="00A016F3">
        <w:rPr>
          <w:rFonts w:ascii="Arial" w:hAnsi="Arial" w:cs="Arial"/>
          <w:bCs/>
          <w:sz w:val="20"/>
          <w:szCs w:val="20"/>
        </w:rPr>
        <w:t xml:space="preserve">La CRA decidió continuar con la medición de eficiencia por medio de la metodología de Análisis Envolvente de Datos (DEA) para las personas prestadoras </w:t>
      </w:r>
      <w:r>
        <w:rPr>
          <w:rFonts w:ascii="Arial" w:hAnsi="Arial" w:cs="Arial"/>
          <w:bCs/>
          <w:sz w:val="20"/>
          <w:szCs w:val="20"/>
        </w:rPr>
        <w:t xml:space="preserve">de los servicios públicos domiciliarios de acueducto y alcantarillado, clasificadas en </w:t>
      </w:r>
      <w:r w:rsidRPr="00816A29">
        <w:rPr>
          <w:rFonts w:ascii="Arial" w:hAnsi="Arial" w:cs="Arial"/>
          <w:bCs/>
          <w:sz w:val="20"/>
          <w:szCs w:val="20"/>
        </w:rPr>
        <w:t>el primer segmento</w:t>
      </w:r>
      <w:r>
        <w:rPr>
          <w:rFonts w:ascii="Arial" w:hAnsi="Arial" w:cs="Arial"/>
          <w:bCs/>
          <w:sz w:val="20"/>
          <w:szCs w:val="20"/>
        </w:rPr>
        <w:t xml:space="preserve"> de la nueva metodología tarifaria</w:t>
      </w:r>
      <w:r w:rsidRPr="00816A29">
        <w:rPr>
          <w:rFonts w:ascii="Arial" w:hAnsi="Arial" w:cs="Arial"/>
          <w:bCs/>
          <w:sz w:val="20"/>
          <w:szCs w:val="20"/>
        </w:rPr>
        <w:t xml:space="preserve">, debido a que el análisis de la información </w:t>
      </w:r>
      <w:r w:rsidRPr="00816A29">
        <w:rPr>
          <w:rFonts w:ascii="Arial" w:hAnsi="Arial" w:cs="Arial"/>
          <w:bCs/>
          <w:sz w:val="20"/>
          <w:szCs w:val="20"/>
        </w:rPr>
        <w:lastRenderedPageBreak/>
        <w:t>disponible del sector mostró que esta era la mejor apro</w:t>
      </w:r>
      <w:r w:rsidRPr="00A016F3">
        <w:rPr>
          <w:rFonts w:ascii="Arial" w:hAnsi="Arial" w:cs="Arial"/>
          <w:bCs/>
          <w:sz w:val="20"/>
          <w:szCs w:val="20"/>
        </w:rPr>
        <w:t xml:space="preserve">ximación, en contraste a otros métodos alternativos, de medición de eficiencia, principalmente por la inexistencia de información completa. </w:t>
      </w:r>
    </w:p>
    <w:p w14:paraId="672CBED5" w14:textId="77777777" w:rsidR="002C33FC" w:rsidRPr="00A016F3" w:rsidRDefault="002C33FC" w:rsidP="002C33FC">
      <w:pPr>
        <w:spacing w:after="0" w:line="240" w:lineRule="auto"/>
        <w:jc w:val="both"/>
        <w:rPr>
          <w:rFonts w:ascii="Arial" w:hAnsi="Arial" w:cs="Arial"/>
          <w:bCs/>
          <w:sz w:val="20"/>
          <w:szCs w:val="20"/>
        </w:rPr>
      </w:pPr>
    </w:p>
    <w:p w14:paraId="3AA1CD17" w14:textId="0DE7D7FB" w:rsidR="002C33FC" w:rsidRPr="00A016F3" w:rsidRDefault="002C33FC" w:rsidP="002C33FC">
      <w:pPr>
        <w:spacing w:after="0" w:line="240" w:lineRule="auto"/>
        <w:jc w:val="both"/>
        <w:rPr>
          <w:rFonts w:ascii="Arial" w:hAnsi="Arial" w:cs="Arial"/>
          <w:sz w:val="20"/>
          <w:szCs w:val="20"/>
        </w:rPr>
      </w:pPr>
      <w:r w:rsidRPr="00A016F3">
        <w:rPr>
          <w:rFonts w:ascii="Arial" w:hAnsi="Arial" w:cs="Arial"/>
          <w:bCs/>
          <w:sz w:val="20"/>
          <w:szCs w:val="20"/>
        </w:rPr>
        <w:t>La metodología que se incluyó en el nuevo marco tarifario usa</w:t>
      </w:r>
      <w:r w:rsidR="009C2D53">
        <w:rPr>
          <w:rFonts w:ascii="Arial" w:hAnsi="Arial" w:cs="Arial"/>
          <w:bCs/>
          <w:sz w:val="20"/>
          <w:szCs w:val="20"/>
        </w:rPr>
        <w:t xml:space="preserve"> el</w:t>
      </w:r>
      <w:r w:rsidRPr="00A016F3">
        <w:rPr>
          <w:rFonts w:ascii="Arial" w:hAnsi="Arial" w:cs="Arial"/>
          <w:bCs/>
          <w:sz w:val="20"/>
          <w:szCs w:val="20"/>
        </w:rPr>
        <w:t xml:space="preserve"> </w:t>
      </w:r>
      <w:r w:rsidR="009C2D53">
        <w:rPr>
          <w:rFonts w:ascii="Arial" w:hAnsi="Arial" w:cs="Arial"/>
          <w:bCs/>
          <w:sz w:val="20"/>
          <w:szCs w:val="20"/>
        </w:rPr>
        <w:t>modelo</w:t>
      </w:r>
      <w:r w:rsidRPr="00A016F3">
        <w:rPr>
          <w:rFonts w:ascii="Arial" w:hAnsi="Arial" w:cs="Arial"/>
          <w:bCs/>
          <w:sz w:val="20"/>
          <w:szCs w:val="20"/>
        </w:rPr>
        <w:t xml:space="preserve"> de eficiencia comparativa en los costos administrativos y operativos, para lo cual tuvo en cuenta los problemas identificados en la aplicación de la Resolución CRA 287 de 2004, los estudios realizados para la expedición de la propuesta incluida en la Resolución CRA 485 de 2009, los comentarios de participación ciudadana, la disponibilidad de un software DEA más actualizado y </w:t>
      </w:r>
      <w:r>
        <w:rPr>
          <w:rFonts w:ascii="Arial" w:hAnsi="Arial" w:cs="Arial"/>
          <w:bCs/>
          <w:sz w:val="20"/>
          <w:szCs w:val="20"/>
        </w:rPr>
        <w:t xml:space="preserve">el establecimiento de </w:t>
      </w:r>
      <w:r w:rsidRPr="00816A29">
        <w:rPr>
          <w:rFonts w:ascii="Arial" w:hAnsi="Arial" w:cs="Arial"/>
          <w:bCs/>
          <w:sz w:val="20"/>
          <w:szCs w:val="20"/>
        </w:rPr>
        <w:t xml:space="preserve">estándares de servicio y de eficiencia durante el periodo tarifario. </w:t>
      </w:r>
      <w:r>
        <w:rPr>
          <w:rFonts w:ascii="Arial" w:hAnsi="Arial" w:cs="Arial"/>
          <w:bCs/>
          <w:sz w:val="20"/>
          <w:szCs w:val="20"/>
        </w:rPr>
        <w:t>El</w:t>
      </w:r>
      <w:r w:rsidRPr="00816A29">
        <w:rPr>
          <w:rFonts w:ascii="Arial" w:hAnsi="Arial" w:cs="Arial"/>
          <w:bCs/>
          <w:sz w:val="20"/>
          <w:szCs w:val="20"/>
        </w:rPr>
        <w:t xml:space="preserve"> modelo se basó en los siguientes criterios:</w:t>
      </w:r>
    </w:p>
    <w:p w14:paraId="6C45D1C8" w14:textId="77777777" w:rsidR="002C33FC" w:rsidRPr="00A016F3" w:rsidRDefault="002C33FC" w:rsidP="002C33FC">
      <w:pPr>
        <w:spacing w:after="0" w:line="240" w:lineRule="auto"/>
        <w:ind w:left="360"/>
        <w:rPr>
          <w:rFonts w:ascii="Arial" w:hAnsi="Arial" w:cs="Arial"/>
          <w:b/>
          <w:sz w:val="20"/>
          <w:szCs w:val="20"/>
        </w:rPr>
      </w:pPr>
    </w:p>
    <w:tbl>
      <w:tblPr>
        <w:tblW w:w="0" w:type="auto"/>
        <w:jc w:val="center"/>
        <w:tblCellMar>
          <w:left w:w="0" w:type="dxa"/>
          <w:right w:w="0" w:type="dxa"/>
        </w:tblCellMar>
        <w:tblLook w:val="0420" w:firstRow="1" w:lastRow="0" w:firstColumn="0" w:lastColumn="0" w:noHBand="0" w:noVBand="1"/>
      </w:tblPr>
      <w:tblGrid>
        <w:gridCol w:w="2948"/>
        <w:gridCol w:w="2237"/>
        <w:gridCol w:w="2927"/>
      </w:tblGrid>
      <w:tr w:rsidR="002C33FC" w:rsidRPr="00A016F3" w14:paraId="3CFB944B" w14:textId="77777777" w:rsidTr="00CE0600">
        <w:trPr>
          <w:trHeight w:val="55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vAlign w:val="center"/>
            <w:hideMark/>
          </w:tcPr>
          <w:p w14:paraId="4D8DCB1C" w14:textId="77777777" w:rsidR="002C33FC" w:rsidRPr="002C33FC" w:rsidRDefault="002C33FC" w:rsidP="00CE0600">
            <w:pPr>
              <w:spacing w:after="0" w:line="240" w:lineRule="auto"/>
              <w:ind w:left="360"/>
              <w:rPr>
                <w:rFonts w:ascii="Arial" w:hAnsi="Arial" w:cs="Arial"/>
                <w:b/>
                <w:color w:val="FFFFFF"/>
                <w:sz w:val="18"/>
                <w:szCs w:val="20"/>
              </w:rPr>
            </w:pPr>
            <w:r w:rsidRPr="002C33FC">
              <w:rPr>
                <w:rFonts w:ascii="Arial" w:hAnsi="Arial" w:cs="Arial"/>
                <w:b/>
                <w:bCs/>
                <w:color w:val="FFFFFF"/>
                <w:sz w:val="18"/>
                <w:szCs w:val="20"/>
              </w:rPr>
              <w:t>RESOLUCIÓN</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vAlign w:val="center"/>
            <w:hideMark/>
          </w:tcPr>
          <w:p w14:paraId="53B5C8E9" w14:textId="77777777" w:rsidR="002C33FC" w:rsidRPr="002C33FC" w:rsidRDefault="002C33FC" w:rsidP="00CE0600">
            <w:pPr>
              <w:spacing w:after="0" w:line="240" w:lineRule="auto"/>
              <w:ind w:left="360"/>
              <w:rPr>
                <w:rFonts w:ascii="Arial" w:hAnsi="Arial" w:cs="Arial"/>
                <w:b/>
                <w:color w:val="FFFFFF"/>
                <w:sz w:val="18"/>
                <w:szCs w:val="20"/>
              </w:rPr>
            </w:pPr>
            <w:r w:rsidRPr="002C33FC">
              <w:rPr>
                <w:rFonts w:ascii="Arial" w:hAnsi="Arial" w:cs="Arial"/>
                <w:b/>
                <w:bCs/>
                <w:color w:val="FFFFFF"/>
                <w:sz w:val="18"/>
                <w:szCs w:val="20"/>
              </w:rPr>
              <w:t>ORIENTACIÓN</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vAlign w:val="center"/>
            <w:hideMark/>
          </w:tcPr>
          <w:p w14:paraId="7FE98761" w14:textId="77777777" w:rsidR="002C33FC" w:rsidRPr="002C33FC" w:rsidRDefault="002C33FC" w:rsidP="00CE0600">
            <w:pPr>
              <w:spacing w:after="0" w:line="240" w:lineRule="auto"/>
              <w:ind w:left="360"/>
              <w:rPr>
                <w:rFonts w:ascii="Arial" w:hAnsi="Arial" w:cs="Arial"/>
                <w:b/>
                <w:color w:val="FFFFFF"/>
                <w:sz w:val="18"/>
                <w:szCs w:val="20"/>
              </w:rPr>
            </w:pPr>
            <w:r w:rsidRPr="002C33FC">
              <w:rPr>
                <w:rFonts w:ascii="Arial" w:hAnsi="Arial" w:cs="Arial"/>
                <w:b/>
                <w:bCs/>
                <w:color w:val="FFFFFF"/>
                <w:sz w:val="18"/>
                <w:szCs w:val="20"/>
              </w:rPr>
              <w:t>RENDIMIENTOS A ESCALA</w:t>
            </w:r>
          </w:p>
        </w:tc>
      </w:tr>
      <w:tr w:rsidR="002C33FC" w:rsidRPr="00A016F3" w14:paraId="771C976A" w14:textId="77777777" w:rsidTr="00CE0600">
        <w:trPr>
          <w:trHeight w:val="22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1A74C50F" w14:textId="77777777" w:rsidR="002C33FC" w:rsidRPr="00E459A4" w:rsidRDefault="002C33FC" w:rsidP="00CE0600">
            <w:pPr>
              <w:spacing w:after="0" w:line="240" w:lineRule="auto"/>
              <w:ind w:left="360"/>
              <w:rPr>
                <w:rFonts w:ascii="Arial" w:hAnsi="Arial" w:cs="Arial"/>
                <w:sz w:val="18"/>
                <w:szCs w:val="20"/>
              </w:rPr>
            </w:pPr>
            <w:r w:rsidRPr="00E459A4">
              <w:rPr>
                <w:rFonts w:ascii="Arial" w:hAnsi="Arial" w:cs="Arial"/>
                <w:sz w:val="18"/>
                <w:szCs w:val="20"/>
              </w:rPr>
              <w:t>Resolución CRA 287 de 2004</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0CB892B0" w14:textId="77777777" w:rsidR="002C33FC" w:rsidRPr="00816A29" w:rsidRDefault="002C33FC" w:rsidP="00CE0600">
            <w:pPr>
              <w:spacing w:after="0" w:line="240" w:lineRule="auto"/>
              <w:ind w:left="360"/>
              <w:rPr>
                <w:rFonts w:ascii="Arial" w:hAnsi="Arial" w:cs="Arial"/>
                <w:sz w:val="18"/>
                <w:szCs w:val="20"/>
              </w:rPr>
            </w:pPr>
            <w:r w:rsidRPr="00816A29">
              <w:rPr>
                <w:rFonts w:ascii="Arial" w:hAnsi="Arial" w:cs="Arial"/>
                <w:sz w:val="18"/>
                <w:szCs w:val="20"/>
              </w:rPr>
              <w:t>Maximizar productos</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1FE0334B" w14:textId="77777777" w:rsidR="002C33FC" w:rsidRPr="00A016F3" w:rsidRDefault="002C33FC" w:rsidP="00CE0600">
            <w:pPr>
              <w:spacing w:after="0" w:line="240" w:lineRule="auto"/>
              <w:ind w:left="360"/>
              <w:rPr>
                <w:rFonts w:ascii="Arial" w:hAnsi="Arial" w:cs="Arial"/>
                <w:sz w:val="18"/>
                <w:szCs w:val="20"/>
              </w:rPr>
            </w:pPr>
            <w:r w:rsidRPr="00A016F3">
              <w:rPr>
                <w:rFonts w:ascii="Arial" w:hAnsi="Arial" w:cs="Arial"/>
                <w:sz w:val="18"/>
                <w:szCs w:val="20"/>
              </w:rPr>
              <w:t>Constantes (CCR)</w:t>
            </w:r>
          </w:p>
        </w:tc>
      </w:tr>
      <w:tr w:rsidR="002C33FC" w:rsidRPr="00A016F3" w14:paraId="6067C2B5" w14:textId="77777777" w:rsidTr="00CE0600">
        <w:trPr>
          <w:trHeight w:val="202"/>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1EE9AF2D" w14:textId="77777777" w:rsidR="002C33FC" w:rsidRPr="00E459A4" w:rsidRDefault="002C33FC" w:rsidP="00CE0600">
            <w:pPr>
              <w:spacing w:after="0" w:line="240" w:lineRule="auto"/>
              <w:ind w:left="360"/>
              <w:rPr>
                <w:rFonts w:ascii="Arial" w:hAnsi="Arial" w:cs="Arial"/>
                <w:sz w:val="18"/>
                <w:szCs w:val="20"/>
              </w:rPr>
            </w:pPr>
            <w:r w:rsidRPr="00E459A4">
              <w:rPr>
                <w:rFonts w:ascii="Arial" w:hAnsi="Arial" w:cs="Arial"/>
                <w:sz w:val="18"/>
                <w:szCs w:val="20"/>
              </w:rPr>
              <w:t>Resolución CRA 688 de 2014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05F219F5" w14:textId="77777777" w:rsidR="002C33FC" w:rsidRPr="00816A29" w:rsidRDefault="002C33FC" w:rsidP="00CE0600">
            <w:pPr>
              <w:spacing w:after="0" w:line="240" w:lineRule="auto"/>
              <w:ind w:left="360"/>
              <w:rPr>
                <w:rFonts w:ascii="Arial" w:hAnsi="Arial" w:cs="Arial"/>
                <w:sz w:val="18"/>
                <w:szCs w:val="20"/>
              </w:rPr>
            </w:pPr>
            <w:r w:rsidRPr="00816A29">
              <w:rPr>
                <w:rFonts w:ascii="Arial" w:hAnsi="Arial" w:cs="Arial"/>
                <w:sz w:val="18"/>
                <w:szCs w:val="20"/>
              </w:rPr>
              <w:t>Minimizar insumos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33DA7FDB" w14:textId="77777777" w:rsidR="002C33FC" w:rsidRPr="00A016F3" w:rsidRDefault="002C33FC" w:rsidP="00CE0600">
            <w:pPr>
              <w:spacing w:after="0" w:line="240" w:lineRule="auto"/>
              <w:ind w:left="360"/>
              <w:rPr>
                <w:rFonts w:ascii="Arial" w:hAnsi="Arial" w:cs="Arial"/>
                <w:sz w:val="18"/>
                <w:szCs w:val="20"/>
              </w:rPr>
            </w:pPr>
            <w:r w:rsidRPr="00A016F3">
              <w:rPr>
                <w:rFonts w:ascii="Arial" w:hAnsi="Arial" w:cs="Arial"/>
                <w:sz w:val="18"/>
                <w:szCs w:val="20"/>
              </w:rPr>
              <w:t>Variables (BCC)</w:t>
            </w:r>
          </w:p>
        </w:tc>
      </w:tr>
    </w:tbl>
    <w:p w14:paraId="07A584E8" w14:textId="77777777" w:rsidR="002C33FC" w:rsidRPr="00E459A4" w:rsidRDefault="002C33FC" w:rsidP="002C33FC">
      <w:pPr>
        <w:spacing w:after="0" w:line="240" w:lineRule="auto"/>
        <w:ind w:left="360"/>
        <w:rPr>
          <w:rFonts w:ascii="Arial" w:hAnsi="Arial" w:cs="Arial"/>
          <w:b/>
          <w:sz w:val="20"/>
          <w:szCs w:val="20"/>
        </w:rPr>
      </w:pPr>
    </w:p>
    <w:p w14:paraId="73E86203" w14:textId="5452D17A" w:rsidR="002C33FC" w:rsidRPr="00816A29" w:rsidRDefault="002C33FC" w:rsidP="002C33FC">
      <w:pPr>
        <w:spacing w:after="0" w:line="240" w:lineRule="auto"/>
        <w:jc w:val="both"/>
        <w:rPr>
          <w:rFonts w:ascii="Arial" w:hAnsi="Arial" w:cs="Arial"/>
          <w:sz w:val="20"/>
          <w:szCs w:val="20"/>
        </w:rPr>
      </w:pPr>
      <w:r w:rsidRPr="00816A29">
        <w:rPr>
          <w:rFonts w:ascii="Arial" w:hAnsi="Arial" w:cs="Arial"/>
          <w:sz w:val="20"/>
          <w:szCs w:val="20"/>
        </w:rPr>
        <w:t>Ahora bien, l</w:t>
      </w:r>
      <w:r w:rsidRPr="00A016F3">
        <w:rPr>
          <w:rFonts w:ascii="Arial" w:hAnsi="Arial" w:cs="Arial"/>
          <w:sz w:val="20"/>
          <w:szCs w:val="20"/>
        </w:rPr>
        <w:t xml:space="preserve">os modelos Básicos del DEA, CCR y BCC, suponen de forma implícita que todos los insumos y productos son de naturaleza discrecional, es decir, que pueden ser controlados por las empresas. Para este caso, cada </w:t>
      </w:r>
      <w:r>
        <w:rPr>
          <w:rFonts w:ascii="Arial" w:hAnsi="Arial" w:cs="Arial"/>
          <w:sz w:val="20"/>
          <w:szCs w:val="20"/>
        </w:rPr>
        <w:t>r</w:t>
      </w:r>
      <w:r w:rsidRPr="00816A29">
        <w:rPr>
          <w:rFonts w:ascii="Arial" w:hAnsi="Arial" w:cs="Arial"/>
          <w:sz w:val="20"/>
          <w:szCs w:val="20"/>
        </w:rPr>
        <w:t>esolución desarroll</w:t>
      </w:r>
      <w:r w:rsidR="009C2D53">
        <w:rPr>
          <w:rFonts w:ascii="Arial" w:hAnsi="Arial" w:cs="Arial"/>
          <w:sz w:val="20"/>
          <w:szCs w:val="20"/>
        </w:rPr>
        <w:t>ó</w:t>
      </w:r>
      <w:r w:rsidRPr="00816A29">
        <w:rPr>
          <w:rFonts w:ascii="Arial" w:hAnsi="Arial" w:cs="Arial"/>
          <w:sz w:val="20"/>
          <w:szCs w:val="20"/>
        </w:rPr>
        <w:t xml:space="preserve"> la control</w:t>
      </w:r>
      <w:r w:rsidR="002C0958">
        <w:rPr>
          <w:rFonts w:ascii="Arial" w:hAnsi="Arial" w:cs="Arial"/>
          <w:sz w:val="20"/>
          <w:szCs w:val="20"/>
        </w:rPr>
        <w:t>abilidad de la siguiente manera:</w:t>
      </w:r>
    </w:p>
    <w:p w14:paraId="350513F6" w14:textId="77777777" w:rsidR="002C33FC" w:rsidRPr="00A016F3" w:rsidRDefault="002C33FC" w:rsidP="002C33FC">
      <w:pPr>
        <w:spacing w:after="0" w:line="240" w:lineRule="auto"/>
        <w:ind w:left="360"/>
        <w:rPr>
          <w:rFonts w:ascii="Arial" w:hAnsi="Arial" w:cs="Arial"/>
          <w:b/>
          <w:sz w:val="20"/>
          <w:szCs w:val="20"/>
        </w:rPr>
      </w:pPr>
    </w:p>
    <w:p w14:paraId="1EDB9C69" w14:textId="77777777" w:rsidR="002C33FC" w:rsidRPr="00A016F3" w:rsidRDefault="002C33FC" w:rsidP="002C33FC">
      <w:pPr>
        <w:spacing w:after="0" w:line="240" w:lineRule="auto"/>
        <w:rPr>
          <w:rFonts w:ascii="Arial" w:hAnsi="Arial" w:cs="Arial"/>
          <w:b/>
          <w:sz w:val="20"/>
          <w:szCs w:val="20"/>
        </w:rPr>
      </w:pPr>
      <w:r w:rsidRPr="00A016F3">
        <w:rPr>
          <w:rFonts w:ascii="Arial" w:hAnsi="Arial" w:cs="Arial"/>
          <w:b/>
          <w:sz w:val="20"/>
          <w:szCs w:val="20"/>
        </w:rPr>
        <w:t>Resolución CRA 287 de 2004</w:t>
      </w:r>
    </w:p>
    <w:p w14:paraId="6A0C2C07" w14:textId="77777777" w:rsidR="002C33FC" w:rsidRPr="00A016F3" w:rsidRDefault="002C33FC" w:rsidP="002C33FC">
      <w:pPr>
        <w:spacing w:after="0" w:line="240" w:lineRule="auto"/>
        <w:rPr>
          <w:rFonts w:ascii="Arial" w:hAnsi="Arial" w:cs="Arial"/>
          <w:b/>
          <w:sz w:val="20"/>
          <w:szCs w:val="20"/>
        </w:rPr>
      </w:pPr>
    </w:p>
    <w:p w14:paraId="7001F81C" w14:textId="77777777" w:rsidR="002C33FC" w:rsidRPr="00A016F3" w:rsidRDefault="002C33FC" w:rsidP="002C33FC">
      <w:pPr>
        <w:spacing w:after="0" w:line="240" w:lineRule="auto"/>
        <w:jc w:val="both"/>
        <w:rPr>
          <w:rFonts w:ascii="Arial" w:hAnsi="Arial" w:cs="Arial"/>
          <w:sz w:val="20"/>
          <w:szCs w:val="20"/>
        </w:rPr>
      </w:pPr>
      <w:r>
        <w:rPr>
          <w:rFonts w:ascii="Arial" w:hAnsi="Arial" w:cs="Arial"/>
          <w:sz w:val="20"/>
          <w:szCs w:val="20"/>
        </w:rPr>
        <w:t>E</w:t>
      </w:r>
      <w:r w:rsidRPr="00816A29">
        <w:rPr>
          <w:rFonts w:ascii="Arial" w:hAnsi="Arial" w:cs="Arial"/>
          <w:sz w:val="20"/>
          <w:szCs w:val="20"/>
        </w:rPr>
        <w:t xml:space="preserve">n el marco de la Resolución CRA 287 de 2004, </w:t>
      </w:r>
      <w:r w:rsidRPr="00A016F3">
        <w:rPr>
          <w:rFonts w:ascii="Arial" w:hAnsi="Arial" w:cs="Arial"/>
          <w:sz w:val="20"/>
          <w:szCs w:val="20"/>
        </w:rPr>
        <w:t>“</w:t>
      </w:r>
      <w:r w:rsidRPr="00A016F3">
        <w:rPr>
          <w:rFonts w:ascii="Arial" w:hAnsi="Arial" w:cs="Arial"/>
          <w:i/>
          <w:sz w:val="20"/>
          <w:szCs w:val="20"/>
        </w:rPr>
        <w:t>se realiza una transformación de las variables para facilitar su aplicación, por lo cual se cambia la orientación del mismo, pasando así a la maximización de un producto dados unos insumos”</w:t>
      </w:r>
      <w:r w:rsidRPr="00E459A4">
        <w:rPr>
          <w:rFonts w:ascii="Arial" w:hAnsi="Arial" w:cs="Arial"/>
          <w:sz w:val="20"/>
          <w:szCs w:val="20"/>
          <w:vertAlign w:val="superscript"/>
        </w:rPr>
        <w:footnoteReference w:id="5"/>
      </w:r>
      <w:r w:rsidRPr="00E459A4">
        <w:rPr>
          <w:rFonts w:ascii="Arial" w:hAnsi="Arial" w:cs="Arial"/>
          <w:sz w:val="20"/>
          <w:szCs w:val="20"/>
        </w:rPr>
        <w:t xml:space="preserve">. En ese caso, </w:t>
      </w:r>
      <w:r w:rsidRPr="00816A29">
        <w:rPr>
          <w:rFonts w:ascii="Arial" w:hAnsi="Arial" w:cs="Arial"/>
          <w:sz w:val="20"/>
          <w:szCs w:val="20"/>
          <w:u w:val="single"/>
        </w:rPr>
        <w:t>debido a que los productos se trasformaron en los "insumos"</w:t>
      </w:r>
      <w:r w:rsidRPr="00816A29">
        <w:rPr>
          <w:rFonts w:ascii="Arial" w:hAnsi="Arial" w:cs="Arial"/>
          <w:sz w:val="20"/>
          <w:szCs w:val="20"/>
        </w:rPr>
        <w:t>, se definieron unos “</w:t>
      </w:r>
      <w:r w:rsidRPr="00A016F3">
        <w:rPr>
          <w:rFonts w:ascii="Arial" w:hAnsi="Arial" w:cs="Arial"/>
          <w:sz w:val="20"/>
          <w:szCs w:val="20"/>
        </w:rPr>
        <w:t>insumos" que eran o no controlables; de la siguiente manera:</w:t>
      </w:r>
    </w:p>
    <w:p w14:paraId="169835C6" w14:textId="77777777" w:rsidR="002C33FC" w:rsidRPr="00A016F3" w:rsidRDefault="002C33FC" w:rsidP="002C33FC">
      <w:pPr>
        <w:spacing w:after="0" w:line="240" w:lineRule="auto"/>
        <w:jc w:val="both"/>
        <w:rPr>
          <w:rFonts w:ascii="Arial" w:hAnsi="Arial" w:cs="Arial"/>
          <w:sz w:val="20"/>
          <w:szCs w:val="20"/>
        </w:rPr>
      </w:pPr>
    </w:p>
    <w:tbl>
      <w:tblPr>
        <w:tblW w:w="0" w:type="auto"/>
        <w:jc w:val="center"/>
        <w:tblCellMar>
          <w:left w:w="0" w:type="dxa"/>
          <w:right w:w="0" w:type="dxa"/>
        </w:tblCellMar>
        <w:tblLook w:val="0420" w:firstRow="1" w:lastRow="0" w:firstColumn="0" w:lastColumn="0" w:noHBand="0" w:noVBand="1"/>
      </w:tblPr>
      <w:tblGrid>
        <w:gridCol w:w="4243"/>
        <w:gridCol w:w="4575"/>
      </w:tblGrid>
      <w:tr w:rsidR="002C33FC" w:rsidRPr="00A016F3" w14:paraId="036787B8" w14:textId="77777777" w:rsidTr="009C2D53">
        <w:trPr>
          <w:trHeight w:val="239"/>
          <w:tblHeader/>
          <w:jc w:val="center"/>
        </w:trPr>
        <w:tc>
          <w:tcPr>
            <w:tcW w:w="4243"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vAlign w:val="center"/>
            <w:hideMark/>
          </w:tcPr>
          <w:p w14:paraId="68539A1C" w14:textId="77777777" w:rsidR="002C33FC" w:rsidRPr="002C33FC" w:rsidRDefault="002C33FC" w:rsidP="00CE0600">
            <w:pPr>
              <w:spacing w:after="0" w:line="240" w:lineRule="auto"/>
              <w:ind w:left="360"/>
              <w:rPr>
                <w:rFonts w:ascii="Arial" w:hAnsi="Arial" w:cs="Arial"/>
                <w:b/>
                <w:color w:val="FFFFFF"/>
                <w:sz w:val="18"/>
                <w:szCs w:val="20"/>
              </w:rPr>
            </w:pPr>
            <w:r w:rsidRPr="002C33FC">
              <w:rPr>
                <w:rFonts w:ascii="Arial" w:hAnsi="Arial" w:cs="Arial"/>
                <w:b/>
                <w:bCs/>
                <w:color w:val="FFFFFF"/>
                <w:sz w:val="18"/>
                <w:szCs w:val="20"/>
              </w:rPr>
              <w:t xml:space="preserve">Variables Controlables </w:t>
            </w:r>
          </w:p>
        </w:tc>
        <w:tc>
          <w:tcPr>
            <w:tcW w:w="4575"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vAlign w:val="center"/>
            <w:hideMark/>
          </w:tcPr>
          <w:p w14:paraId="6A4C1250" w14:textId="77777777" w:rsidR="002C33FC" w:rsidRPr="002C33FC" w:rsidRDefault="002C33FC" w:rsidP="00CE0600">
            <w:pPr>
              <w:spacing w:after="0" w:line="240" w:lineRule="auto"/>
              <w:ind w:left="360"/>
              <w:rPr>
                <w:rFonts w:ascii="Arial" w:hAnsi="Arial" w:cs="Arial"/>
                <w:b/>
                <w:color w:val="FFFFFF"/>
                <w:sz w:val="18"/>
                <w:szCs w:val="20"/>
              </w:rPr>
            </w:pPr>
            <w:r w:rsidRPr="002C33FC">
              <w:rPr>
                <w:rFonts w:ascii="Arial" w:hAnsi="Arial" w:cs="Arial"/>
                <w:b/>
                <w:bCs/>
                <w:color w:val="FFFFFF"/>
                <w:sz w:val="18"/>
                <w:szCs w:val="20"/>
              </w:rPr>
              <w:t>Variables no Controlables</w:t>
            </w:r>
          </w:p>
        </w:tc>
      </w:tr>
      <w:tr w:rsidR="002C33FC" w:rsidRPr="00A016F3" w14:paraId="09B5E126" w14:textId="77777777" w:rsidTr="00CE0600">
        <w:trPr>
          <w:trHeight w:val="224"/>
          <w:jc w:val="center"/>
        </w:trPr>
        <w:tc>
          <w:tcPr>
            <w:tcW w:w="4243"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tcPr>
          <w:p w14:paraId="35CE4C9A" w14:textId="77777777" w:rsidR="002C33FC" w:rsidRPr="00E459A4" w:rsidRDefault="002C33FC" w:rsidP="00CE0600">
            <w:pPr>
              <w:spacing w:after="0" w:line="240" w:lineRule="auto"/>
              <w:ind w:left="360"/>
              <w:rPr>
                <w:rFonts w:ascii="Arial" w:hAnsi="Arial" w:cs="Arial"/>
                <w:sz w:val="18"/>
                <w:szCs w:val="20"/>
              </w:rPr>
            </w:pPr>
            <w:r w:rsidRPr="00E459A4">
              <w:rPr>
                <w:rFonts w:ascii="Arial" w:hAnsi="Arial" w:cs="Arial"/>
                <w:sz w:val="18"/>
                <w:szCs w:val="20"/>
              </w:rPr>
              <w:t>Número de suscriptores con micro medición</w:t>
            </w:r>
          </w:p>
        </w:tc>
        <w:tc>
          <w:tcPr>
            <w:tcW w:w="4575"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tcPr>
          <w:p w14:paraId="465D709C" w14:textId="77777777" w:rsidR="002C33FC" w:rsidRPr="00816A29" w:rsidRDefault="002C33FC" w:rsidP="00CE0600">
            <w:pPr>
              <w:spacing w:after="0" w:line="240" w:lineRule="auto"/>
              <w:ind w:left="360"/>
              <w:rPr>
                <w:rFonts w:ascii="Arial" w:hAnsi="Arial" w:cs="Arial"/>
                <w:sz w:val="18"/>
                <w:szCs w:val="20"/>
              </w:rPr>
            </w:pPr>
            <w:r w:rsidRPr="00816A29">
              <w:rPr>
                <w:rFonts w:ascii="Arial" w:hAnsi="Arial" w:cs="Arial"/>
                <w:sz w:val="18"/>
                <w:szCs w:val="20"/>
              </w:rPr>
              <w:t>Número de suscriptores de acueducto</w:t>
            </w:r>
          </w:p>
        </w:tc>
      </w:tr>
      <w:tr w:rsidR="002C33FC" w:rsidRPr="00A016F3" w14:paraId="77A6FECF" w14:textId="77777777" w:rsidTr="00CE0600">
        <w:trPr>
          <w:trHeight w:val="194"/>
          <w:jc w:val="center"/>
        </w:trPr>
        <w:tc>
          <w:tcPr>
            <w:tcW w:w="424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218B256E" w14:textId="77777777" w:rsidR="002C33FC" w:rsidRPr="00E459A4" w:rsidRDefault="002C33FC" w:rsidP="00CE0600">
            <w:pPr>
              <w:spacing w:after="0" w:line="240" w:lineRule="auto"/>
              <w:ind w:left="360"/>
              <w:rPr>
                <w:rFonts w:ascii="Arial" w:hAnsi="Arial" w:cs="Arial"/>
                <w:sz w:val="18"/>
                <w:szCs w:val="20"/>
              </w:rPr>
            </w:pPr>
            <w:r w:rsidRPr="00E459A4">
              <w:rPr>
                <w:rFonts w:ascii="Arial" w:hAnsi="Arial" w:cs="Arial"/>
                <w:sz w:val="18"/>
                <w:szCs w:val="20"/>
              </w:rPr>
              <w:t>Número de quejas y reclamos por facturación resueltas a favor del usuario</w:t>
            </w:r>
            <w:r w:rsidRPr="00E459A4">
              <w:rPr>
                <w:rStyle w:val="Refdenotaalpie"/>
                <w:rFonts w:ascii="Arial" w:hAnsi="Arial" w:cs="Arial"/>
                <w:sz w:val="18"/>
                <w:szCs w:val="20"/>
              </w:rPr>
              <w:footnoteReference w:id="6"/>
            </w: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7227B065" w14:textId="77777777" w:rsidR="002C33FC" w:rsidRPr="00816A29" w:rsidRDefault="002C33FC" w:rsidP="00CE0600">
            <w:pPr>
              <w:spacing w:after="0" w:line="240" w:lineRule="auto"/>
              <w:ind w:left="360"/>
              <w:rPr>
                <w:rFonts w:ascii="Arial" w:hAnsi="Arial" w:cs="Arial"/>
                <w:sz w:val="18"/>
                <w:szCs w:val="20"/>
              </w:rPr>
            </w:pPr>
            <w:r w:rsidRPr="00816A29">
              <w:rPr>
                <w:rFonts w:ascii="Arial" w:hAnsi="Arial" w:cs="Arial"/>
                <w:sz w:val="18"/>
                <w:szCs w:val="20"/>
              </w:rPr>
              <w:t>Número de suscriptores de alcantarillado</w:t>
            </w:r>
          </w:p>
        </w:tc>
      </w:tr>
      <w:tr w:rsidR="002C33FC" w:rsidRPr="00A016F3" w14:paraId="7C57D57D" w14:textId="77777777" w:rsidTr="00CE0600">
        <w:trPr>
          <w:trHeight w:val="15"/>
          <w:jc w:val="center"/>
        </w:trPr>
        <w:tc>
          <w:tcPr>
            <w:tcW w:w="424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5C8A4F99" w14:textId="77777777" w:rsidR="002C33FC" w:rsidRPr="00E459A4" w:rsidRDefault="002C33FC" w:rsidP="00CE0600">
            <w:pPr>
              <w:spacing w:after="0" w:line="240" w:lineRule="auto"/>
              <w:ind w:left="360"/>
              <w:rPr>
                <w:rFonts w:ascii="Arial" w:hAnsi="Arial" w:cs="Arial"/>
                <w:sz w:val="18"/>
                <w:szCs w:val="20"/>
              </w:rPr>
            </w:pP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411C78EC" w14:textId="77777777" w:rsidR="002C33FC" w:rsidRPr="00816A29" w:rsidRDefault="002C33FC" w:rsidP="00CE0600">
            <w:pPr>
              <w:spacing w:after="0" w:line="240" w:lineRule="auto"/>
              <w:ind w:left="360"/>
              <w:rPr>
                <w:rFonts w:ascii="Arial" w:hAnsi="Arial" w:cs="Arial"/>
                <w:sz w:val="18"/>
                <w:szCs w:val="20"/>
              </w:rPr>
            </w:pPr>
            <w:r w:rsidRPr="00816A29">
              <w:rPr>
                <w:rFonts w:ascii="Arial" w:hAnsi="Arial" w:cs="Arial"/>
                <w:sz w:val="18"/>
                <w:szCs w:val="20"/>
              </w:rPr>
              <w:t>Número de suscriptores de estrato 1 y 2</w:t>
            </w:r>
          </w:p>
        </w:tc>
      </w:tr>
      <w:tr w:rsidR="002C33FC" w:rsidRPr="00A016F3" w14:paraId="5CC7C15C" w14:textId="77777777" w:rsidTr="00CE0600">
        <w:trPr>
          <w:trHeight w:val="202"/>
          <w:jc w:val="center"/>
        </w:trPr>
        <w:tc>
          <w:tcPr>
            <w:tcW w:w="424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50A621DB" w14:textId="77777777" w:rsidR="002C33FC" w:rsidRPr="00E459A4" w:rsidRDefault="002C33FC" w:rsidP="00CE0600">
            <w:pPr>
              <w:spacing w:after="0" w:line="240" w:lineRule="auto"/>
              <w:ind w:left="360"/>
              <w:rPr>
                <w:rFonts w:ascii="Arial" w:hAnsi="Arial" w:cs="Arial"/>
                <w:sz w:val="18"/>
                <w:szCs w:val="20"/>
              </w:rPr>
            </w:pP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106DBBBB" w14:textId="77777777" w:rsidR="002C33FC" w:rsidRPr="00E459A4" w:rsidRDefault="002C33FC" w:rsidP="00CE0600">
            <w:pPr>
              <w:spacing w:after="0" w:line="240" w:lineRule="auto"/>
              <w:ind w:left="360"/>
              <w:rPr>
                <w:rFonts w:ascii="Arial" w:hAnsi="Arial" w:cs="Arial"/>
                <w:sz w:val="18"/>
                <w:szCs w:val="20"/>
              </w:rPr>
            </w:pPr>
            <w:r w:rsidRPr="00E459A4">
              <w:rPr>
                <w:rFonts w:ascii="Arial" w:hAnsi="Arial" w:cs="Arial"/>
                <w:sz w:val="18"/>
                <w:szCs w:val="20"/>
              </w:rPr>
              <w:t>Densidad</w:t>
            </w:r>
            <w:r w:rsidRPr="00E459A4">
              <w:rPr>
                <w:rStyle w:val="Refdenotaalpie"/>
                <w:rFonts w:ascii="Arial" w:hAnsi="Arial" w:cs="Arial"/>
                <w:sz w:val="18"/>
                <w:szCs w:val="20"/>
              </w:rPr>
              <w:footnoteReference w:id="7"/>
            </w:r>
          </w:p>
        </w:tc>
      </w:tr>
      <w:tr w:rsidR="002C33FC" w:rsidRPr="00A016F3" w14:paraId="2674E153" w14:textId="77777777" w:rsidTr="00CE0600">
        <w:trPr>
          <w:trHeight w:val="202"/>
          <w:jc w:val="center"/>
        </w:trPr>
        <w:tc>
          <w:tcPr>
            <w:tcW w:w="424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7651CABF" w14:textId="77777777" w:rsidR="002C33FC" w:rsidRPr="00E459A4" w:rsidRDefault="002C33FC" w:rsidP="00CE0600">
            <w:pPr>
              <w:spacing w:after="0" w:line="240" w:lineRule="auto"/>
              <w:ind w:left="360"/>
              <w:rPr>
                <w:rFonts w:ascii="Arial" w:hAnsi="Arial" w:cs="Arial"/>
                <w:sz w:val="18"/>
                <w:szCs w:val="20"/>
              </w:rPr>
            </w:pP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3ADC09E8" w14:textId="77777777" w:rsidR="002C33FC" w:rsidRPr="00816A29" w:rsidRDefault="002C33FC" w:rsidP="00CE0600">
            <w:pPr>
              <w:spacing w:after="0" w:line="240" w:lineRule="auto"/>
              <w:ind w:left="360"/>
              <w:rPr>
                <w:rFonts w:ascii="Arial" w:hAnsi="Arial" w:cs="Arial"/>
                <w:sz w:val="18"/>
                <w:szCs w:val="20"/>
              </w:rPr>
            </w:pPr>
            <w:r w:rsidRPr="00816A29">
              <w:rPr>
                <w:rFonts w:ascii="Arial" w:hAnsi="Arial" w:cs="Arial"/>
                <w:sz w:val="18"/>
                <w:szCs w:val="20"/>
              </w:rPr>
              <w:t>Número de suscriptores industriales y comerciales atendidos</w:t>
            </w:r>
          </w:p>
        </w:tc>
      </w:tr>
      <w:tr w:rsidR="002C33FC" w:rsidRPr="00A016F3" w14:paraId="3F4B5E6A" w14:textId="77777777" w:rsidTr="00CE0600">
        <w:trPr>
          <w:trHeight w:val="202"/>
          <w:jc w:val="center"/>
        </w:trPr>
        <w:tc>
          <w:tcPr>
            <w:tcW w:w="424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6CF4F109" w14:textId="77777777" w:rsidR="002C33FC" w:rsidRPr="00E459A4" w:rsidRDefault="002C33FC" w:rsidP="00CE0600">
            <w:pPr>
              <w:spacing w:after="0" w:line="240" w:lineRule="auto"/>
              <w:ind w:left="360"/>
              <w:rPr>
                <w:rFonts w:ascii="Arial" w:hAnsi="Arial" w:cs="Arial"/>
                <w:sz w:val="18"/>
                <w:szCs w:val="20"/>
              </w:rPr>
            </w:pP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0BCFD5D7" w14:textId="77777777" w:rsidR="002C33FC" w:rsidRPr="00E459A4" w:rsidRDefault="002C33FC" w:rsidP="00CE0600">
            <w:pPr>
              <w:spacing w:after="0" w:line="240" w:lineRule="auto"/>
              <w:ind w:left="360"/>
              <w:rPr>
                <w:rFonts w:ascii="Arial" w:hAnsi="Arial" w:cs="Arial"/>
                <w:sz w:val="18"/>
                <w:szCs w:val="20"/>
              </w:rPr>
            </w:pPr>
            <w:r w:rsidRPr="00E459A4">
              <w:rPr>
                <w:rFonts w:ascii="Arial" w:hAnsi="Arial" w:cs="Arial"/>
                <w:sz w:val="18"/>
                <w:szCs w:val="20"/>
              </w:rPr>
              <w:t>Metros cúbicos producidos de acueducto</w:t>
            </w:r>
            <w:r w:rsidRPr="00E459A4">
              <w:rPr>
                <w:rStyle w:val="Refdenotaalpie"/>
                <w:rFonts w:ascii="Arial" w:hAnsi="Arial" w:cs="Arial"/>
                <w:sz w:val="18"/>
                <w:szCs w:val="20"/>
              </w:rPr>
              <w:footnoteReference w:id="8"/>
            </w:r>
          </w:p>
        </w:tc>
      </w:tr>
      <w:tr w:rsidR="002C33FC" w:rsidRPr="00A016F3" w14:paraId="123BB2C6" w14:textId="77777777" w:rsidTr="00CE0600">
        <w:trPr>
          <w:trHeight w:val="202"/>
          <w:jc w:val="center"/>
        </w:trPr>
        <w:tc>
          <w:tcPr>
            <w:tcW w:w="424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4971E305" w14:textId="77777777" w:rsidR="002C33FC" w:rsidRPr="00E459A4" w:rsidRDefault="002C33FC" w:rsidP="00CE0600">
            <w:pPr>
              <w:spacing w:after="0" w:line="240" w:lineRule="auto"/>
              <w:ind w:left="360"/>
              <w:rPr>
                <w:rFonts w:ascii="Arial" w:hAnsi="Arial" w:cs="Arial"/>
                <w:sz w:val="18"/>
                <w:szCs w:val="20"/>
              </w:rPr>
            </w:pP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311F20D7" w14:textId="77777777" w:rsidR="002C33FC" w:rsidRPr="00816A29" w:rsidRDefault="002C33FC" w:rsidP="00CE0600">
            <w:pPr>
              <w:spacing w:after="0" w:line="240" w:lineRule="auto"/>
              <w:ind w:left="360"/>
              <w:rPr>
                <w:rFonts w:ascii="Arial" w:hAnsi="Arial" w:cs="Arial"/>
                <w:sz w:val="18"/>
                <w:szCs w:val="20"/>
              </w:rPr>
            </w:pPr>
            <w:r w:rsidRPr="002A4A0F">
              <w:rPr>
                <w:rFonts w:ascii="Arial" w:hAnsi="Arial" w:cs="Arial"/>
                <w:sz w:val="18"/>
                <w:szCs w:val="20"/>
              </w:rPr>
              <w:t>Metros cúbicos vertidos al sistema de alcantarillado, facturados por el prestador</w:t>
            </w:r>
          </w:p>
        </w:tc>
      </w:tr>
      <w:tr w:rsidR="002C33FC" w:rsidRPr="00A016F3" w14:paraId="7B1A378E" w14:textId="77777777" w:rsidTr="00CE0600">
        <w:trPr>
          <w:trHeight w:val="202"/>
          <w:jc w:val="center"/>
        </w:trPr>
        <w:tc>
          <w:tcPr>
            <w:tcW w:w="424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1746012B" w14:textId="77777777" w:rsidR="002C33FC" w:rsidRPr="00E459A4" w:rsidRDefault="002C33FC" w:rsidP="00CE0600">
            <w:pPr>
              <w:spacing w:after="0" w:line="240" w:lineRule="auto"/>
              <w:ind w:left="360"/>
              <w:rPr>
                <w:rFonts w:ascii="Arial" w:hAnsi="Arial" w:cs="Arial"/>
                <w:sz w:val="18"/>
                <w:szCs w:val="20"/>
              </w:rPr>
            </w:pP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73A77AAD" w14:textId="77777777" w:rsidR="002C33FC" w:rsidRPr="00E459A4" w:rsidRDefault="002C33FC" w:rsidP="00CE0600">
            <w:pPr>
              <w:spacing w:after="0" w:line="240" w:lineRule="auto"/>
              <w:ind w:left="360"/>
              <w:rPr>
                <w:rFonts w:ascii="Arial" w:hAnsi="Arial" w:cs="Arial"/>
                <w:sz w:val="18"/>
                <w:szCs w:val="20"/>
              </w:rPr>
            </w:pPr>
            <w:r w:rsidRPr="00816A29">
              <w:rPr>
                <w:rFonts w:ascii="Arial" w:hAnsi="Arial" w:cs="Arial"/>
                <w:sz w:val="18"/>
                <w:szCs w:val="20"/>
              </w:rPr>
              <w:t>% de m</w:t>
            </w:r>
            <w:r w:rsidRPr="00A041D2">
              <w:rPr>
                <w:rFonts w:ascii="Arial" w:hAnsi="Arial" w:cs="Arial"/>
                <w:sz w:val="18"/>
                <w:szCs w:val="20"/>
                <w:vertAlign w:val="superscript"/>
              </w:rPr>
              <w:t xml:space="preserve">3 </w:t>
            </w:r>
            <w:r w:rsidRPr="00816A29">
              <w:rPr>
                <w:rFonts w:ascii="Arial" w:hAnsi="Arial" w:cs="Arial"/>
                <w:sz w:val="18"/>
                <w:szCs w:val="20"/>
              </w:rPr>
              <w:t>bombeados de acueducto y alcantarillado, sobre la producción total</w:t>
            </w:r>
            <w:r w:rsidRPr="00E459A4">
              <w:rPr>
                <w:rStyle w:val="Refdenotaalpie"/>
                <w:rFonts w:ascii="Arial" w:hAnsi="Arial" w:cs="Arial"/>
                <w:sz w:val="18"/>
                <w:szCs w:val="20"/>
              </w:rPr>
              <w:footnoteReference w:id="9"/>
            </w:r>
          </w:p>
        </w:tc>
      </w:tr>
      <w:tr w:rsidR="002C33FC" w:rsidRPr="00A016F3" w14:paraId="77239456" w14:textId="77777777" w:rsidTr="00CE0600">
        <w:trPr>
          <w:trHeight w:val="202"/>
          <w:jc w:val="center"/>
        </w:trPr>
        <w:tc>
          <w:tcPr>
            <w:tcW w:w="424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37D23467" w14:textId="77777777" w:rsidR="002C33FC" w:rsidRPr="00E459A4" w:rsidRDefault="002C33FC" w:rsidP="00CE0600">
            <w:pPr>
              <w:spacing w:after="0" w:line="240" w:lineRule="auto"/>
              <w:ind w:left="360"/>
              <w:rPr>
                <w:rFonts w:ascii="Arial" w:hAnsi="Arial" w:cs="Arial"/>
                <w:sz w:val="18"/>
                <w:szCs w:val="20"/>
              </w:rPr>
            </w:pP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163129F7" w14:textId="77777777" w:rsidR="002C33FC" w:rsidRPr="00E459A4" w:rsidRDefault="002C33FC" w:rsidP="00CE0600">
            <w:pPr>
              <w:spacing w:after="0" w:line="240" w:lineRule="auto"/>
              <w:ind w:left="360"/>
              <w:rPr>
                <w:rFonts w:ascii="Arial" w:hAnsi="Arial" w:cs="Arial"/>
                <w:sz w:val="18"/>
                <w:szCs w:val="20"/>
              </w:rPr>
            </w:pPr>
            <w:r w:rsidRPr="00E459A4">
              <w:rPr>
                <w:rFonts w:ascii="Arial" w:hAnsi="Arial" w:cs="Arial"/>
                <w:sz w:val="18"/>
                <w:szCs w:val="20"/>
              </w:rPr>
              <w:t># efectivo de plantas</w:t>
            </w:r>
            <w:r w:rsidRPr="00E459A4">
              <w:rPr>
                <w:rStyle w:val="Refdenotaalpie"/>
                <w:rFonts w:ascii="Arial" w:hAnsi="Arial" w:cs="Arial"/>
                <w:sz w:val="18"/>
                <w:szCs w:val="20"/>
              </w:rPr>
              <w:footnoteReference w:id="10"/>
            </w:r>
          </w:p>
        </w:tc>
      </w:tr>
      <w:tr w:rsidR="002C33FC" w:rsidRPr="00A016F3" w14:paraId="5D4DAB37" w14:textId="77777777" w:rsidTr="00CE0600">
        <w:trPr>
          <w:trHeight w:val="202"/>
          <w:jc w:val="center"/>
        </w:trPr>
        <w:tc>
          <w:tcPr>
            <w:tcW w:w="424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2AFE9C82" w14:textId="77777777" w:rsidR="002C33FC" w:rsidRPr="00E459A4" w:rsidRDefault="002C33FC" w:rsidP="00CE0600">
            <w:pPr>
              <w:spacing w:after="0" w:line="240" w:lineRule="auto"/>
              <w:ind w:left="360"/>
              <w:rPr>
                <w:rFonts w:ascii="Arial" w:hAnsi="Arial" w:cs="Arial"/>
                <w:sz w:val="18"/>
                <w:szCs w:val="20"/>
              </w:rPr>
            </w:pP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04C6E50C" w14:textId="77777777" w:rsidR="002C33FC" w:rsidRPr="00816A29" w:rsidRDefault="002C33FC" w:rsidP="00CE0600">
            <w:pPr>
              <w:spacing w:after="0" w:line="240" w:lineRule="auto"/>
              <w:ind w:left="360"/>
              <w:rPr>
                <w:rFonts w:ascii="Arial" w:hAnsi="Arial" w:cs="Arial"/>
                <w:sz w:val="18"/>
                <w:szCs w:val="20"/>
              </w:rPr>
            </w:pPr>
            <w:r w:rsidRPr="00816A29">
              <w:rPr>
                <w:rFonts w:ascii="Arial" w:hAnsi="Arial" w:cs="Arial"/>
                <w:sz w:val="18"/>
                <w:szCs w:val="20"/>
              </w:rPr>
              <w:t>Tamaño de redes</w:t>
            </w:r>
          </w:p>
        </w:tc>
      </w:tr>
      <w:tr w:rsidR="002C33FC" w:rsidRPr="00A016F3" w14:paraId="2BDF6093" w14:textId="77777777" w:rsidTr="00CE0600">
        <w:trPr>
          <w:trHeight w:val="202"/>
          <w:jc w:val="center"/>
        </w:trPr>
        <w:tc>
          <w:tcPr>
            <w:tcW w:w="424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07AE3D1E" w14:textId="77777777" w:rsidR="002C33FC" w:rsidRPr="00E459A4" w:rsidRDefault="002C33FC" w:rsidP="00CE0600">
            <w:pPr>
              <w:spacing w:after="0" w:line="240" w:lineRule="auto"/>
              <w:ind w:left="360"/>
              <w:rPr>
                <w:rFonts w:ascii="Arial" w:hAnsi="Arial" w:cs="Arial"/>
                <w:sz w:val="18"/>
                <w:szCs w:val="20"/>
              </w:rPr>
            </w:pP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tcPr>
          <w:p w14:paraId="426B5D19" w14:textId="77777777" w:rsidR="002C33FC" w:rsidRPr="00816A29" w:rsidRDefault="002C33FC" w:rsidP="00CE0600">
            <w:pPr>
              <w:spacing w:after="0" w:line="240" w:lineRule="auto"/>
              <w:ind w:left="360"/>
              <w:rPr>
                <w:rFonts w:ascii="Arial" w:hAnsi="Arial" w:cs="Arial"/>
                <w:sz w:val="18"/>
                <w:szCs w:val="20"/>
              </w:rPr>
            </w:pPr>
            <w:r w:rsidRPr="00816A29">
              <w:rPr>
                <w:rFonts w:ascii="Arial" w:hAnsi="Arial" w:cs="Arial"/>
                <w:sz w:val="18"/>
                <w:szCs w:val="20"/>
              </w:rPr>
              <w:t>Calidad promedio del agua cruda</w:t>
            </w:r>
          </w:p>
        </w:tc>
      </w:tr>
    </w:tbl>
    <w:p w14:paraId="3388AEBC" w14:textId="77777777" w:rsidR="002C33FC" w:rsidRPr="00816A29" w:rsidRDefault="002C33FC" w:rsidP="002C33FC">
      <w:pPr>
        <w:spacing w:after="0" w:line="240" w:lineRule="auto"/>
        <w:jc w:val="both"/>
        <w:rPr>
          <w:rFonts w:ascii="Arial" w:hAnsi="Arial" w:cs="Arial"/>
          <w:sz w:val="20"/>
          <w:szCs w:val="20"/>
        </w:rPr>
      </w:pPr>
    </w:p>
    <w:p w14:paraId="1DA43924" w14:textId="77777777" w:rsidR="002C33FC" w:rsidRPr="00A016F3" w:rsidRDefault="002C33FC" w:rsidP="002C33FC">
      <w:pPr>
        <w:spacing w:after="0" w:line="240" w:lineRule="auto"/>
        <w:rPr>
          <w:rFonts w:ascii="Arial" w:hAnsi="Arial" w:cs="Arial"/>
          <w:b/>
          <w:sz w:val="20"/>
          <w:szCs w:val="20"/>
        </w:rPr>
      </w:pPr>
    </w:p>
    <w:p w14:paraId="4030E18F" w14:textId="77777777" w:rsidR="002C33FC" w:rsidRPr="00A016F3" w:rsidRDefault="002C33FC" w:rsidP="002C33FC">
      <w:pPr>
        <w:spacing w:after="0" w:line="240" w:lineRule="auto"/>
        <w:rPr>
          <w:rFonts w:ascii="Arial" w:hAnsi="Arial" w:cs="Arial"/>
          <w:b/>
          <w:sz w:val="20"/>
          <w:szCs w:val="20"/>
        </w:rPr>
      </w:pPr>
      <w:r w:rsidRPr="00A016F3">
        <w:rPr>
          <w:rFonts w:ascii="Arial" w:hAnsi="Arial" w:cs="Arial"/>
          <w:b/>
          <w:sz w:val="20"/>
          <w:szCs w:val="20"/>
        </w:rPr>
        <w:t>Resolución CRA 688 de 2014</w:t>
      </w:r>
    </w:p>
    <w:p w14:paraId="2E4A0FBB" w14:textId="77777777" w:rsidR="002C33FC" w:rsidRPr="00A016F3" w:rsidRDefault="002C33FC" w:rsidP="002C33FC">
      <w:pPr>
        <w:spacing w:after="0" w:line="240" w:lineRule="auto"/>
        <w:rPr>
          <w:rFonts w:ascii="Arial" w:hAnsi="Arial" w:cs="Arial"/>
          <w:b/>
          <w:sz w:val="20"/>
          <w:szCs w:val="20"/>
        </w:rPr>
      </w:pPr>
    </w:p>
    <w:p w14:paraId="6A4A382C" w14:textId="77777777" w:rsidR="002C33FC" w:rsidRPr="00A016F3" w:rsidRDefault="002C33FC" w:rsidP="002C33FC">
      <w:pPr>
        <w:spacing w:after="0" w:line="240" w:lineRule="auto"/>
        <w:jc w:val="both"/>
        <w:rPr>
          <w:rFonts w:ascii="Arial" w:hAnsi="Arial" w:cs="Arial"/>
          <w:sz w:val="20"/>
          <w:szCs w:val="20"/>
        </w:rPr>
      </w:pPr>
      <w:r w:rsidRPr="00A016F3">
        <w:rPr>
          <w:rFonts w:ascii="Arial" w:hAnsi="Arial" w:cs="Arial"/>
          <w:sz w:val="20"/>
          <w:szCs w:val="20"/>
        </w:rPr>
        <w:t>Bajo el supuesto de discrecionalidad que tiene el modelo BCC, para determinar la función a minimizar se definieron como controlables los insumos  – “</w:t>
      </w:r>
      <w:r w:rsidRPr="00A016F3">
        <w:rPr>
          <w:rFonts w:ascii="Arial" w:hAnsi="Arial" w:cs="Arial"/>
          <w:i/>
          <w:sz w:val="20"/>
          <w:szCs w:val="20"/>
        </w:rPr>
        <w:t>inputs”</w:t>
      </w:r>
      <w:r w:rsidRPr="00A016F3">
        <w:rPr>
          <w:rFonts w:ascii="Arial" w:hAnsi="Arial" w:cs="Arial"/>
          <w:sz w:val="20"/>
          <w:szCs w:val="20"/>
        </w:rPr>
        <w:t xml:space="preserve"> (costos administrativos y costos operativos</w:t>
      </w:r>
      <w:r>
        <w:rPr>
          <w:rFonts w:ascii="Arial" w:hAnsi="Arial" w:cs="Arial"/>
          <w:sz w:val="20"/>
          <w:szCs w:val="20"/>
        </w:rPr>
        <w:t>)</w:t>
      </w:r>
      <w:r w:rsidRPr="00816A29">
        <w:rPr>
          <w:rFonts w:ascii="Arial" w:hAnsi="Arial" w:cs="Arial"/>
          <w:sz w:val="20"/>
          <w:szCs w:val="20"/>
        </w:rPr>
        <w:t xml:space="preserve">; sin </w:t>
      </w:r>
      <w:r w:rsidRPr="00970568">
        <w:rPr>
          <w:rFonts w:ascii="Arial" w:hAnsi="Arial" w:cs="Arial"/>
          <w:sz w:val="20"/>
          <w:szCs w:val="20"/>
        </w:rPr>
        <w:t>definir la d</w:t>
      </w:r>
      <w:r w:rsidRPr="00A016F3">
        <w:rPr>
          <w:rFonts w:ascii="Arial" w:hAnsi="Arial" w:cs="Arial"/>
          <w:sz w:val="20"/>
          <w:szCs w:val="20"/>
        </w:rPr>
        <w:t>iscrecionalidad de los productos - “</w:t>
      </w:r>
      <w:r w:rsidRPr="00A016F3">
        <w:rPr>
          <w:rFonts w:ascii="Arial" w:hAnsi="Arial" w:cs="Arial"/>
          <w:i/>
          <w:sz w:val="20"/>
          <w:szCs w:val="20"/>
        </w:rPr>
        <w:t>output</w:t>
      </w:r>
      <w:r w:rsidRPr="00A016F3">
        <w:rPr>
          <w:rFonts w:ascii="Arial" w:hAnsi="Arial" w:cs="Arial"/>
          <w:sz w:val="20"/>
          <w:szCs w:val="20"/>
        </w:rPr>
        <w:t>s” (número de suscriptores de acueducto, número de suscriptores de alcantarillado, número de suscriptores con micromedición, número de suscriptores de estratos 1 y 2, número de suscriptores industriales y comerciales, m</w:t>
      </w:r>
      <w:r w:rsidRPr="00A016F3">
        <w:rPr>
          <w:rFonts w:ascii="Arial" w:hAnsi="Arial" w:cs="Arial"/>
          <w:sz w:val="20"/>
          <w:szCs w:val="20"/>
          <w:vertAlign w:val="superscript"/>
        </w:rPr>
        <w:t>3</w:t>
      </w:r>
      <w:r w:rsidRPr="00A016F3">
        <w:rPr>
          <w:rFonts w:ascii="Arial" w:hAnsi="Arial" w:cs="Arial"/>
          <w:sz w:val="20"/>
          <w:szCs w:val="20"/>
        </w:rPr>
        <w:t xml:space="preserve"> facturados, m</w:t>
      </w:r>
      <w:r w:rsidRPr="00A016F3">
        <w:rPr>
          <w:rFonts w:ascii="Arial" w:hAnsi="Arial" w:cs="Arial"/>
          <w:sz w:val="20"/>
          <w:szCs w:val="20"/>
          <w:vertAlign w:val="superscript"/>
        </w:rPr>
        <w:t>3</w:t>
      </w:r>
      <w:r w:rsidRPr="00A016F3">
        <w:rPr>
          <w:rFonts w:ascii="Arial" w:hAnsi="Arial" w:cs="Arial"/>
          <w:sz w:val="20"/>
          <w:szCs w:val="20"/>
        </w:rPr>
        <w:t xml:space="preserve"> vertidos, el tamaño de redes de acueducto y alcantarillado y calidad del agua cruda), dada la naturaleza del modelo.</w:t>
      </w:r>
    </w:p>
    <w:p w14:paraId="3C59D583" w14:textId="77777777" w:rsidR="002C33FC" w:rsidRDefault="002C33FC" w:rsidP="00744C19">
      <w:pPr>
        <w:spacing w:after="0" w:line="240" w:lineRule="auto"/>
        <w:jc w:val="both"/>
        <w:rPr>
          <w:rFonts w:ascii="Arial" w:hAnsi="Arial" w:cs="Arial"/>
          <w:sz w:val="20"/>
          <w:szCs w:val="20"/>
          <w:lang w:val="es-MX"/>
        </w:rPr>
      </w:pPr>
    </w:p>
    <w:p w14:paraId="5D60E126" w14:textId="77777777" w:rsidR="002C33FC" w:rsidRPr="00A016F3" w:rsidRDefault="002C33FC" w:rsidP="002C33FC">
      <w:pPr>
        <w:spacing w:after="0" w:line="240" w:lineRule="auto"/>
        <w:jc w:val="both"/>
        <w:rPr>
          <w:rFonts w:ascii="Arial" w:hAnsi="Arial" w:cs="Arial"/>
          <w:sz w:val="20"/>
          <w:szCs w:val="20"/>
          <w:lang w:val="es-MX"/>
        </w:rPr>
      </w:pPr>
      <w:r w:rsidRPr="00A016F3">
        <w:rPr>
          <w:rFonts w:ascii="Arial" w:hAnsi="Arial" w:cs="Arial"/>
          <w:sz w:val="20"/>
          <w:szCs w:val="20"/>
          <w:lang w:val="es-MX"/>
        </w:rPr>
        <w:t>Con base en la metodología definida en la Resolución CRA 688 de 2014 y c</w:t>
      </w:r>
      <w:r w:rsidRPr="00A016F3">
        <w:rPr>
          <w:rFonts w:ascii="Arial" w:hAnsi="Arial" w:cs="Arial"/>
          <w:bCs/>
          <w:iCs/>
          <w:sz w:val="20"/>
          <w:szCs w:val="20"/>
          <w:lang w:val="es-MX" w:eastAsia="es-CO"/>
        </w:rPr>
        <w:t xml:space="preserve">on la información de las </w:t>
      </w:r>
      <w:r w:rsidRPr="00A016F3">
        <w:rPr>
          <w:rFonts w:ascii="Arial" w:hAnsi="Arial" w:cs="Arial"/>
          <w:bCs/>
          <w:iCs/>
          <w:sz w:val="20"/>
          <w:szCs w:val="20"/>
          <w:lang w:eastAsia="es-CO"/>
        </w:rPr>
        <w:t>nueve (9) personas prestadoras que cumplieron con toda la información y requisitos</w:t>
      </w:r>
      <w:r>
        <w:rPr>
          <w:rFonts w:ascii="Arial" w:hAnsi="Arial" w:cs="Arial"/>
          <w:bCs/>
          <w:iCs/>
          <w:sz w:val="20"/>
          <w:szCs w:val="20"/>
          <w:lang w:eastAsia="es-CO"/>
        </w:rPr>
        <w:t>, establecidos para hacer parte del modelo,</w:t>
      </w:r>
      <w:r w:rsidRPr="00816A29">
        <w:rPr>
          <w:rFonts w:ascii="Arial" w:hAnsi="Arial" w:cs="Arial"/>
          <w:bCs/>
          <w:iCs/>
          <w:sz w:val="20"/>
          <w:szCs w:val="20"/>
          <w:lang w:eastAsia="es-CO"/>
        </w:rPr>
        <w:t xml:space="preserve"> se aplicó la metodología DEA y</w:t>
      </w:r>
      <w:r w:rsidRPr="00816A29">
        <w:rPr>
          <w:rFonts w:ascii="Arial" w:hAnsi="Arial" w:cs="Arial"/>
          <w:sz w:val="20"/>
          <w:szCs w:val="20"/>
          <w:lang w:val="es-MX"/>
        </w:rPr>
        <w:t xml:space="preserve"> </w:t>
      </w:r>
      <w:r>
        <w:rPr>
          <w:rFonts w:ascii="Arial" w:hAnsi="Arial" w:cs="Arial"/>
          <w:sz w:val="20"/>
          <w:szCs w:val="20"/>
          <w:lang w:val="es-MX"/>
        </w:rPr>
        <w:t>se</w:t>
      </w:r>
      <w:r w:rsidRPr="00816A29">
        <w:rPr>
          <w:rFonts w:ascii="Arial" w:hAnsi="Arial" w:cs="Arial"/>
          <w:sz w:val="20"/>
          <w:szCs w:val="20"/>
          <w:lang w:val="es-MX"/>
        </w:rPr>
        <w:t xml:space="preserve"> </w:t>
      </w:r>
      <w:r w:rsidRPr="00816A29">
        <w:rPr>
          <w:rFonts w:ascii="Arial" w:hAnsi="Arial" w:cs="Arial"/>
          <w:bCs/>
          <w:iCs/>
          <w:sz w:val="20"/>
          <w:szCs w:val="20"/>
          <w:lang w:val="es-MX" w:eastAsia="es-CO"/>
        </w:rPr>
        <w:t>expidió la Resolución CRA</w:t>
      </w:r>
      <w:r w:rsidRPr="00A016F3">
        <w:rPr>
          <w:rFonts w:ascii="Arial" w:hAnsi="Arial" w:cs="Arial"/>
          <w:bCs/>
          <w:iCs/>
          <w:sz w:val="20"/>
          <w:szCs w:val="20"/>
          <w:lang w:eastAsia="es-CO"/>
        </w:rPr>
        <w:t xml:space="preserve"> 791 de 2017,</w:t>
      </w:r>
      <w:r w:rsidRPr="00A016F3">
        <w:rPr>
          <w:rFonts w:ascii="Arial" w:hAnsi="Arial" w:cs="Arial"/>
          <w:bCs/>
          <w:iCs/>
          <w:sz w:val="20"/>
          <w:szCs w:val="20"/>
          <w:lang w:val="es-MX" w:eastAsia="es-CO"/>
        </w:rPr>
        <w:t xml:space="preserve"> </w:t>
      </w:r>
      <w:r w:rsidRPr="00A016F3">
        <w:rPr>
          <w:rFonts w:ascii="Arial" w:hAnsi="Arial" w:cs="Arial"/>
          <w:bCs/>
          <w:iCs/>
          <w:sz w:val="20"/>
          <w:szCs w:val="20"/>
          <w:lang w:eastAsia="es-CO"/>
        </w:rPr>
        <w:t>por medio de la cual se presentó para participación ciudadana, el proyecto de Resolución</w:t>
      </w:r>
      <w:r w:rsidRPr="00A016F3">
        <w:rPr>
          <w:rFonts w:ascii="Arial" w:hAnsi="Arial" w:cs="Arial"/>
          <w:bCs/>
          <w:i/>
          <w:iCs/>
          <w:sz w:val="20"/>
          <w:szCs w:val="20"/>
          <w:lang w:eastAsia="es-CO"/>
        </w:rPr>
        <w:t xml:space="preserve"> ‘Por la cual se presentan las variables que conforman los modelos de eficiencia establecidos en la Resolución CRA 688 de 2014, para determinar los puntajes de eficiencia comparativa PDEA y se dictan otras disposiciones’, e inició el proceso de discusión directa con los usuarios y agentes del sector”</w:t>
      </w:r>
      <w:r w:rsidRPr="00A016F3">
        <w:rPr>
          <w:rFonts w:ascii="Arial" w:hAnsi="Arial" w:cs="Arial"/>
          <w:bCs/>
          <w:iCs/>
          <w:sz w:val="20"/>
          <w:szCs w:val="20"/>
          <w:lang w:eastAsia="es-CO"/>
        </w:rPr>
        <w:t xml:space="preserve">, durante el término de quince (15) días hábiles, tal como lo señaló el artículo segundo de la resolución. La Resolución CRA 791 de 2017 fue </w:t>
      </w:r>
      <w:r w:rsidRPr="00A016F3">
        <w:rPr>
          <w:rFonts w:ascii="Arial" w:hAnsi="Arial" w:cs="Arial"/>
          <w:bCs/>
          <w:iCs/>
          <w:sz w:val="20"/>
          <w:szCs w:val="20"/>
          <w:lang w:val="es-MX" w:eastAsia="es-CO"/>
        </w:rPr>
        <w:t>aprobada el</w:t>
      </w:r>
      <w:r w:rsidRPr="00A016F3">
        <w:rPr>
          <w:rFonts w:ascii="Arial" w:hAnsi="Arial" w:cs="Arial"/>
          <w:bCs/>
          <w:iCs/>
          <w:sz w:val="20"/>
          <w:szCs w:val="20"/>
          <w:lang w:eastAsia="es-CO"/>
        </w:rPr>
        <w:t xml:space="preserve"> 21 de abril de 2017 y publicada en el Diario Oficial No. 50.216 del 26 de abril de 2017.</w:t>
      </w:r>
    </w:p>
    <w:p w14:paraId="68AA517C" w14:textId="77777777" w:rsidR="002C33FC" w:rsidRPr="00A016F3" w:rsidRDefault="002C33FC" w:rsidP="002C33FC">
      <w:pPr>
        <w:autoSpaceDE w:val="0"/>
        <w:autoSpaceDN w:val="0"/>
        <w:adjustRightInd w:val="0"/>
        <w:spacing w:after="0" w:line="240" w:lineRule="auto"/>
        <w:jc w:val="both"/>
        <w:rPr>
          <w:rFonts w:ascii="Arial" w:hAnsi="Arial" w:cs="Arial"/>
          <w:bCs/>
          <w:iCs/>
          <w:sz w:val="20"/>
          <w:szCs w:val="20"/>
          <w:lang w:eastAsia="es-CO"/>
        </w:rPr>
      </w:pPr>
    </w:p>
    <w:p w14:paraId="6904E45A" w14:textId="77777777" w:rsidR="002C33FC" w:rsidRPr="00A016F3" w:rsidRDefault="002C33FC" w:rsidP="002C33FC">
      <w:pPr>
        <w:spacing w:after="0" w:line="240" w:lineRule="auto"/>
        <w:jc w:val="both"/>
        <w:rPr>
          <w:rFonts w:ascii="Arial" w:hAnsi="Arial" w:cs="Arial"/>
          <w:bCs/>
          <w:iCs/>
          <w:sz w:val="20"/>
          <w:szCs w:val="20"/>
          <w:lang w:eastAsia="es-CO"/>
        </w:rPr>
      </w:pPr>
      <w:r w:rsidRPr="00A016F3">
        <w:rPr>
          <w:rFonts w:ascii="Arial" w:hAnsi="Arial" w:cs="Arial"/>
          <w:bCs/>
          <w:iCs/>
          <w:sz w:val="20"/>
          <w:szCs w:val="20"/>
          <w:lang w:eastAsia="es-CO"/>
        </w:rPr>
        <w:t>Teniendo en cuenta las solicitudes de ampliación de plazo recibidas, se expidió la Resolución CRA 796 de 2017, de 16 de mayo de 2017 y publicada en el Diario Oficial No. 50.236 del 17 de mayo de 2017, extendiendo el periodo de participación ciudadana de la Resolución CRA 791 de 2017 hasta el 4 de julio de 2017.</w:t>
      </w:r>
    </w:p>
    <w:p w14:paraId="7BB93685" w14:textId="77777777" w:rsidR="002C33FC" w:rsidRPr="00A016F3" w:rsidRDefault="002C33FC" w:rsidP="002C33FC">
      <w:pPr>
        <w:spacing w:after="0" w:line="240" w:lineRule="auto"/>
        <w:jc w:val="both"/>
        <w:rPr>
          <w:rFonts w:ascii="Arial" w:hAnsi="Arial" w:cs="Arial"/>
          <w:bCs/>
          <w:iCs/>
          <w:sz w:val="20"/>
          <w:szCs w:val="20"/>
          <w:lang w:eastAsia="es-CO"/>
        </w:rPr>
      </w:pPr>
    </w:p>
    <w:p w14:paraId="0B6D86C1" w14:textId="77777777" w:rsidR="002C33FC" w:rsidRPr="00A016F3" w:rsidRDefault="002C33FC" w:rsidP="002C33FC">
      <w:pPr>
        <w:spacing w:after="0" w:line="240" w:lineRule="auto"/>
        <w:jc w:val="both"/>
        <w:rPr>
          <w:rFonts w:ascii="Arial" w:hAnsi="Arial" w:cs="Arial"/>
          <w:sz w:val="20"/>
          <w:szCs w:val="20"/>
          <w:lang w:val="es-MX"/>
        </w:rPr>
      </w:pPr>
      <w:r w:rsidRPr="00A016F3">
        <w:rPr>
          <w:rFonts w:ascii="Arial" w:hAnsi="Arial" w:cs="Arial"/>
          <w:sz w:val="20"/>
          <w:szCs w:val="20"/>
        </w:rPr>
        <w:t xml:space="preserve">En la Resolución CRA 791 de 2017 </w:t>
      </w:r>
      <w:r w:rsidRPr="00A016F3">
        <w:rPr>
          <w:rFonts w:ascii="Arial" w:hAnsi="Arial" w:cs="Arial"/>
          <w:sz w:val="20"/>
          <w:szCs w:val="20"/>
          <w:lang w:val="es-MX"/>
        </w:rPr>
        <w:t>se estimaron los P</w:t>
      </w:r>
      <w:r w:rsidRPr="00A016F3">
        <w:rPr>
          <w:rFonts w:ascii="Arial" w:hAnsi="Arial" w:cs="Arial"/>
          <w:sz w:val="20"/>
          <w:szCs w:val="20"/>
          <w:vertAlign w:val="subscript"/>
          <w:lang w:val="es-MX"/>
        </w:rPr>
        <w:t>DEA</w:t>
      </w:r>
      <w:r w:rsidRPr="00A016F3">
        <w:rPr>
          <w:rFonts w:ascii="Arial" w:hAnsi="Arial" w:cs="Arial"/>
          <w:sz w:val="20"/>
          <w:szCs w:val="20"/>
          <w:lang w:val="es-MX"/>
        </w:rPr>
        <w:t xml:space="preserve"> teniendo en cuenta que:</w:t>
      </w:r>
    </w:p>
    <w:p w14:paraId="03D7461A" w14:textId="77777777" w:rsidR="002C33FC" w:rsidRPr="00A016F3" w:rsidRDefault="002C33FC" w:rsidP="002C33FC">
      <w:pPr>
        <w:spacing w:after="0" w:line="240" w:lineRule="auto"/>
        <w:jc w:val="both"/>
        <w:rPr>
          <w:rFonts w:ascii="Arial" w:hAnsi="Arial" w:cs="Arial"/>
          <w:sz w:val="20"/>
          <w:szCs w:val="20"/>
          <w:lang w:val="es-MX"/>
        </w:rPr>
      </w:pPr>
    </w:p>
    <w:tbl>
      <w:tblPr>
        <w:tblW w:w="0" w:type="auto"/>
        <w:jc w:val="center"/>
        <w:tblCellMar>
          <w:left w:w="0" w:type="dxa"/>
          <w:right w:w="0" w:type="dxa"/>
        </w:tblCellMar>
        <w:tblLook w:val="04A0" w:firstRow="1" w:lastRow="0" w:firstColumn="1" w:lastColumn="0" w:noHBand="0" w:noVBand="1"/>
      </w:tblPr>
      <w:tblGrid>
        <w:gridCol w:w="2551"/>
        <w:gridCol w:w="2451"/>
      </w:tblGrid>
      <w:tr w:rsidR="002C33FC" w:rsidRPr="00A016F3" w14:paraId="5BA56359" w14:textId="77777777" w:rsidTr="00CE0600">
        <w:trPr>
          <w:trHeight w:val="225"/>
          <w:jc w:val="center"/>
        </w:trPr>
        <w:tc>
          <w:tcPr>
            <w:tcW w:w="0" w:type="auto"/>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74A8F875" w14:textId="77777777" w:rsidR="002C33FC" w:rsidRPr="00A016F3" w:rsidRDefault="002C33FC" w:rsidP="00CE0600">
            <w:pPr>
              <w:spacing w:after="0" w:line="240" w:lineRule="auto"/>
              <w:jc w:val="both"/>
              <w:rPr>
                <w:rFonts w:ascii="Arial" w:hAnsi="Arial" w:cs="Arial"/>
                <w:sz w:val="20"/>
                <w:szCs w:val="20"/>
              </w:rPr>
            </w:pPr>
            <w:r w:rsidRPr="00A016F3">
              <w:rPr>
                <w:rFonts w:ascii="Arial" w:hAnsi="Arial" w:cs="Arial"/>
                <w:b/>
                <w:bCs/>
                <w:sz w:val="20"/>
                <w:szCs w:val="20"/>
                <w:lang w:val="es-MX"/>
              </w:rPr>
              <w:t>Orientación</w:t>
            </w:r>
          </w:p>
        </w:tc>
        <w:tc>
          <w:tcPr>
            <w:tcW w:w="0" w:type="auto"/>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hideMark/>
          </w:tcPr>
          <w:p w14:paraId="1150965F" w14:textId="77777777" w:rsidR="002C33FC" w:rsidRPr="00A016F3" w:rsidRDefault="002C33FC" w:rsidP="00CE0600">
            <w:pPr>
              <w:spacing w:after="0" w:line="240" w:lineRule="auto"/>
              <w:jc w:val="both"/>
              <w:rPr>
                <w:rFonts w:ascii="Arial" w:hAnsi="Arial" w:cs="Arial"/>
                <w:sz w:val="20"/>
                <w:szCs w:val="20"/>
              </w:rPr>
            </w:pPr>
            <w:r w:rsidRPr="00A016F3">
              <w:rPr>
                <w:rFonts w:ascii="Arial" w:hAnsi="Arial" w:cs="Arial"/>
                <w:sz w:val="20"/>
                <w:szCs w:val="20"/>
                <w:lang w:val="es-MX"/>
              </w:rPr>
              <w:t>Minimización de insumos</w:t>
            </w:r>
          </w:p>
        </w:tc>
      </w:tr>
      <w:tr w:rsidR="002C33FC" w:rsidRPr="00A016F3" w14:paraId="0D888CD4" w14:textId="77777777" w:rsidTr="00CE0600">
        <w:trPr>
          <w:trHeight w:val="229"/>
          <w:jc w:val="center"/>
        </w:trPr>
        <w:tc>
          <w:tcPr>
            <w:tcW w:w="0" w:type="auto"/>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72E126F2" w14:textId="77777777" w:rsidR="002C33FC" w:rsidRPr="00E459A4" w:rsidRDefault="002C33FC" w:rsidP="00CE0600">
            <w:pPr>
              <w:spacing w:after="0" w:line="240" w:lineRule="auto"/>
              <w:jc w:val="both"/>
              <w:rPr>
                <w:rFonts w:ascii="Arial" w:hAnsi="Arial" w:cs="Arial"/>
                <w:sz w:val="20"/>
                <w:szCs w:val="20"/>
              </w:rPr>
            </w:pPr>
            <w:r w:rsidRPr="00E459A4">
              <w:rPr>
                <w:rFonts w:ascii="Arial" w:hAnsi="Arial" w:cs="Arial"/>
                <w:b/>
                <w:bCs/>
                <w:sz w:val="20"/>
                <w:szCs w:val="20"/>
                <w:lang w:val="es-MX"/>
              </w:rPr>
              <w:t>Retornos a Escala</w:t>
            </w:r>
          </w:p>
        </w:tc>
        <w:tc>
          <w:tcPr>
            <w:tcW w:w="0" w:type="auto"/>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14:paraId="429FF50B" w14:textId="77777777" w:rsidR="002C33FC" w:rsidRPr="00816A29" w:rsidRDefault="002C33FC" w:rsidP="00CE0600">
            <w:pPr>
              <w:spacing w:after="0" w:line="240" w:lineRule="auto"/>
              <w:jc w:val="both"/>
              <w:rPr>
                <w:rFonts w:ascii="Arial" w:hAnsi="Arial" w:cs="Arial"/>
                <w:sz w:val="20"/>
                <w:szCs w:val="20"/>
              </w:rPr>
            </w:pPr>
            <w:r w:rsidRPr="00816A29">
              <w:rPr>
                <w:rFonts w:ascii="Arial" w:hAnsi="Arial" w:cs="Arial"/>
                <w:sz w:val="20"/>
                <w:szCs w:val="20"/>
                <w:lang w:val="es-MX"/>
              </w:rPr>
              <w:t>Variables</w:t>
            </w:r>
          </w:p>
        </w:tc>
      </w:tr>
      <w:tr w:rsidR="002C33FC" w:rsidRPr="00A016F3" w14:paraId="0693103A" w14:textId="77777777" w:rsidTr="00CE0600">
        <w:trPr>
          <w:trHeight w:val="248"/>
          <w:jc w:val="center"/>
        </w:trPr>
        <w:tc>
          <w:tcPr>
            <w:tcW w:w="0" w:type="auto"/>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center"/>
            <w:hideMark/>
          </w:tcPr>
          <w:p w14:paraId="4A8F4EB9" w14:textId="77777777" w:rsidR="002C33FC" w:rsidRPr="00E459A4" w:rsidRDefault="002C33FC" w:rsidP="00CE0600">
            <w:pPr>
              <w:spacing w:after="0" w:line="240" w:lineRule="auto"/>
              <w:jc w:val="both"/>
              <w:rPr>
                <w:rFonts w:ascii="Arial" w:hAnsi="Arial" w:cs="Arial"/>
                <w:sz w:val="20"/>
                <w:szCs w:val="20"/>
              </w:rPr>
            </w:pPr>
            <w:r w:rsidRPr="00E459A4">
              <w:rPr>
                <w:rFonts w:ascii="Arial" w:hAnsi="Arial" w:cs="Arial"/>
                <w:b/>
                <w:bCs/>
                <w:sz w:val="20"/>
                <w:szCs w:val="20"/>
                <w:lang w:val="es-MX"/>
              </w:rPr>
              <w:t>Variables discrecionales</w:t>
            </w:r>
          </w:p>
        </w:tc>
        <w:tc>
          <w:tcPr>
            <w:tcW w:w="0" w:type="auto"/>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hideMark/>
          </w:tcPr>
          <w:p w14:paraId="76CBE166" w14:textId="77777777" w:rsidR="002C33FC" w:rsidRPr="00816A29" w:rsidRDefault="002C33FC" w:rsidP="00CE0600">
            <w:pPr>
              <w:spacing w:after="0" w:line="240" w:lineRule="auto"/>
              <w:jc w:val="both"/>
              <w:rPr>
                <w:rFonts w:ascii="Arial" w:hAnsi="Arial" w:cs="Arial"/>
                <w:sz w:val="20"/>
                <w:szCs w:val="20"/>
              </w:rPr>
            </w:pPr>
            <w:r w:rsidRPr="00816A29">
              <w:rPr>
                <w:rFonts w:ascii="Arial" w:hAnsi="Arial" w:cs="Arial"/>
                <w:sz w:val="20"/>
                <w:szCs w:val="20"/>
                <w:lang w:val="es-MX"/>
              </w:rPr>
              <w:t xml:space="preserve">Insumos </w:t>
            </w:r>
          </w:p>
        </w:tc>
      </w:tr>
    </w:tbl>
    <w:p w14:paraId="52E23272" w14:textId="77777777" w:rsidR="002C33FC" w:rsidRPr="00E459A4" w:rsidRDefault="002C33FC" w:rsidP="002C33FC">
      <w:pPr>
        <w:spacing w:after="0" w:line="240" w:lineRule="auto"/>
        <w:jc w:val="both"/>
        <w:rPr>
          <w:rFonts w:ascii="Arial" w:hAnsi="Arial" w:cs="Arial"/>
          <w:sz w:val="20"/>
          <w:szCs w:val="20"/>
          <w:lang w:val="es-MX"/>
        </w:rPr>
      </w:pPr>
    </w:p>
    <w:p w14:paraId="4AB63427" w14:textId="77777777" w:rsidR="002C33FC" w:rsidRPr="00816A29" w:rsidRDefault="002C33FC" w:rsidP="002C33FC">
      <w:pPr>
        <w:spacing w:after="0" w:line="240" w:lineRule="auto"/>
        <w:jc w:val="both"/>
        <w:rPr>
          <w:rFonts w:ascii="Arial" w:hAnsi="Arial" w:cs="Arial"/>
          <w:sz w:val="20"/>
          <w:szCs w:val="20"/>
        </w:rPr>
      </w:pPr>
    </w:p>
    <w:p w14:paraId="4AFB95DB" w14:textId="77777777" w:rsidR="002C33FC" w:rsidRPr="00A016F3" w:rsidRDefault="002C33FC" w:rsidP="002C33FC">
      <w:pPr>
        <w:numPr>
          <w:ilvl w:val="0"/>
          <w:numId w:val="34"/>
        </w:numPr>
        <w:suppressAutoHyphens w:val="0"/>
        <w:spacing w:after="0" w:line="240" w:lineRule="auto"/>
        <w:jc w:val="both"/>
        <w:rPr>
          <w:rFonts w:ascii="Arial" w:hAnsi="Arial" w:cs="Arial"/>
          <w:sz w:val="20"/>
          <w:szCs w:val="20"/>
        </w:rPr>
      </w:pPr>
      <w:r w:rsidRPr="00816A29">
        <w:rPr>
          <w:rFonts w:ascii="Arial" w:hAnsi="Arial" w:cs="Arial"/>
          <w:sz w:val="20"/>
          <w:szCs w:val="20"/>
          <w:lang w:val="es-MX"/>
        </w:rPr>
        <w:t>Para los costos administrativos y operativos y sus respectivos productos no se definió algún tratamiento diferente (</w:t>
      </w:r>
      <w:r w:rsidRPr="00A016F3">
        <w:rPr>
          <w:rFonts w:ascii="Arial" w:hAnsi="Arial" w:cs="Arial"/>
          <w:sz w:val="20"/>
          <w:szCs w:val="20"/>
        </w:rPr>
        <w:t xml:space="preserve">relación) </w:t>
      </w:r>
      <w:r w:rsidRPr="00A016F3">
        <w:rPr>
          <w:rFonts w:ascii="Arial" w:hAnsi="Arial" w:cs="Arial"/>
          <w:sz w:val="20"/>
          <w:szCs w:val="20"/>
          <w:lang w:val="es-MX"/>
        </w:rPr>
        <w:t xml:space="preserve">entre los insumos y los productos. </w:t>
      </w:r>
    </w:p>
    <w:p w14:paraId="30B0DCA9" w14:textId="77777777" w:rsidR="002C33FC" w:rsidRPr="00A016F3" w:rsidRDefault="002C33FC" w:rsidP="002C33FC">
      <w:pPr>
        <w:numPr>
          <w:ilvl w:val="0"/>
          <w:numId w:val="34"/>
        </w:numPr>
        <w:suppressAutoHyphens w:val="0"/>
        <w:spacing w:after="0" w:line="240" w:lineRule="auto"/>
        <w:jc w:val="both"/>
        <w:rPr>
          <w:rFonts w:ascii="Arial" w:hAnsi="Arial" w:cs="Arial"/>
          <w:sz w:val="20"/>
          <w:szCs w:val="20"/>
        </w:rPr>
      </w:pPr>
      <w:r w:rsidRPr="00A016F3">
        <w:rPr>
          <w:rFonts w:ascii="Arial" w:hAnsi="Arial" w:cs="Arial"/>
          <w:sz w:val="20"/>
          <w:szCs w:val="20"/>
          <w:lang w:val="es-MX"/>
        </w:rPr>
        <w:t>Se definieron como insumos controlables los costos administrativos y operativos.</w:t>
      </w:r>
    </w:p>
    <w:p w14:paraId="0C0DFAAB" w14:textId="77777777" w:rsidR="002C33FC" w:rsidRPr="00A016F3" w:rsidRDefault="009E1DB5" w:rsidP="002C33FC">
      <w:pPr>
        <w:numPr>
          <w:ilvl w:val="0"/>
          <w:numId w:val="34"/>
        </w:numPr>
        <w:suppressAutoHyphens w:val="0"/>
        <w:spacing w:after="0" w:line="240" w:lineRule="auto"/>
        <w:jc w:val="both"/>
        <w:rPr>
          <w:rFonts w:ascii="Arial" w:hAnsi="Arial" w:cs="Arial"/>
          <w:sz w:val="20"/>
          <w:szCs w:val="20"/>
        </w:rPr>
      </w:pPr>
      <w:r>
        <w:rPr>
          <w:rFonts w:ascii="Arial" w:hAnsi="Arial" w:cs="Arial"/>
          <w:sz w:val="20"/>
          <w:szCs w:val="20"/>
          <w:lang w:val="es-MX"/>
        </w:rPr>
        <w:t>Se definieron los productos administrativos y operativos</w:t>
      </w:r>
      <w:r w:rsidR="002C33FC" w:rsidRPr="00A016F3">
        <w:rPr>
          <w:rFonts w:ascii="Arial" w:hAnsi="Arial" w:cs="Arial"/>
          <w:sz w:val="20"/>
          <w:szCs w:val="20"/>
          <w:lang w:val="es-MX"/>
        </w:rPr>
        <w:t>.</w:t>
      </w:r>
    </w:p>
    <w:p w14:paraId="0F56193D" w14:textId="77777777" w:rsidR="002C33FC" w:rsidRPr="00A016F3" w:rsidRDefault="002C33FC" w:rsidP="002C33FC">
      <w:pPr>
        <w:spacing w:after="0" w:line="240" w:lineRule="auto"/>
        <w:rPr>
          <w:rFonts w:ascii="Arial" w:hAnsi="Arial" w:cs="Arial"/>
          <w:b/>
          <w:sz w:val="20"/>
          <w:szCs w:val="20"/>
        </w:rPr>
      </w:pPr>
    </w:p>
    <w:p w14:paraId="7512E597" w14:textId="77777777" w:rsidR="003E61D0" w:rsidRDefault="003E61D0" w:rsidP="00744C19">
      <w:pPr>
        <w:spacing w:after="0" w:line="240" w:lineRule="auto"/>
        <w:jc w:val="both"/>
        <w:rPr>
          <w:rFonts w:ascii="Arial" w:hAnsi="Arial" w:cs="Arial"/>
          <w:sz w:val="20"/>
          <w:szCs w:val="20"/>
          <w:lang w:val="es-MX"/>
        </w:rPr>
      </w:pPr>
    </w:p>
    <w:p w14:paraId="70FEC70A" w14:textId="77777777" w:rsidR="009C553A" w:rsidRDefault="009C553A" w:rsidP="009C553A">
      <w:pPr>
        <w:pStyle w:val="Ttulo2"/>
      </w:pPr>
      <w:bookmarkStart w:id="13" w:name="_Toc506988582"/>
      <w:r>
        <w:t>RESPUESTA NO.</w:t>
      </w:r>
      <w:r w:rsidRPr="00097873">
        <w:fldChar w:fldCharType="begin"/>
      </w:r>
      <w:r w:rsidRPr="00097873">
        <w:instrText xml:space="preserve"> SEQ RESPUESTA_N. \* ARABIC </w:instrText>
      </w:r>
      <w:r w:rsidRPr="00097873">
        <w:fldChar w:fldCharType="separate"/>
      </w:r>
      <w:r>
        <w:rPr>
          <w:noProof/>
        </w:rPr>
        <w:t>4</w:t>
      </w:r>
      <w:r w:rsidRPr="00097873">
        <w:fldChar w:fldCharType="end"/>
      </w:r>
      <w:r w:rsidRPr="00097873">
        <w:t xml:space="preserve">. </w:t>
      </w:r>
      <w:r w:rsidRPr="009C553A">
        <w:t>REMUNERACIÓN DE ACTIVOS ADMINISTRATIVOS Y OPERATIVOS</w:t>
      </w:r>
      <w:bookmarkEnd w:id="13"/>
    </w:p>
    <w:p w14:paraId="7926CE21" w14:textId="77777777" w:rsidR="00AF5B55" w:rsidRPr="00AF5B55" w:rsidRDefault="00AF5B55" w:rsidP="00AF5B55">
      <w:pPr>
        <w:spacing w:after="0" w:line="240" w:lineRule="auto"/>
        <w:jc w:val="both"/>
        <w:rPr>
          <w:rFonts w:ascii="Arial" w:hAnsi="Arial" w:cs="Arial"/>
          <w:sz w:val="20"/>
          <w:szCs w:val="20"/>
        </w:rPr>
      </w:pPr>
    </w:p>
    <w:p w14:paraId="60BEBFCC" w14:textId="77777777" w:rsidR="00AF5B55" w:rsidRDefault="00AF5B55" w:rsidP="00AF5B55">
      <w:pPr>
        <w:spacing w:after="0" w:line="240" w:lineRule="auto"/>
        <w:jc w:val="both"/>
        <w:rPr>
          <w:rFonts w:ascii="Arial" w:hAnsi="Arial" w:cs="Arial"/>
          <w:bCs/>
          <w:iCs/>
          <w:sz w:val="20"/>
          <w:szCs w:val="20"/>
        </w:rPr>
      </w:pPr>
      <w:r w:rsidRPr="00AF5B55">
        <w:rPr>
          <w:rFonts w:ascii="Arial" w:hAnsi="Arial" w:cs="Arial"/>
          <w:sz w:val="20"/>
          <w:szCs w:val="20"/>
        </w:rPr>
        <w:t xml:space="preserve">En el caso de los costos administrativos y operativos utilizados en la estimación del </w:t>
      </w:r>
      <w:r w:rsidRPr="00AF5B55">
        <w:rPr>
          <w:rFonts w:ascii="Arial" w:hAnsi="Arial" w:cs="Arial"/>
          <w:bCs/>
          <w:iCs/>
          <w:sz w:val="20"/>
          <w:szCs w:val="20"/>
        </w:rPr>
        <w:t xml:space="preserve">modelo de eficiencia comparativa se </w:t>
      </w:r>
      <w:r w:rsidR="00376DC1">
        <w:rPr>
          <w:rFonts w:ascii="Arial" w:hAnsi="Arial" w:cs="Arial"/>
          <w:bCs/>
          <w:iCs/>
          <w:sz w:val="20"/>
          <w:szCs w:val="20"/>
        </w:rPr>
        <w:t>acepta</w:t>
      </w:r>
      <w:r w:rsidR="000276C6">
        <w:rPr>
          <w:rFonts w:ascii="Arial" w:hAnsi="Arial" w:cs="Arial"/>
          <w:bCs/>
          <w:iCs/>
          <w:sz w:val="20"/>
          <w:szCs w:val="20"/>
        </w:rPr>
        <w:t xml:space="preserve">n </w:t>
      </w:r>
      <w:r w:rsidR="00376DC1">
        <w:rPr>
          <w:rFonts w:ascii="Arial" w:hAnsi="Arial" w:cs="Arial"/>
          <w:bCs/>
          <w:iCs/>
          <w:sz w:val="20"/>
          <w:szCs w:val="20"/>
        </w:rPr>
        <w:t>la</w:t>
      </w:r>
      <w:r w:rsidR="000276C6">
        <w:rPr>
          <w:rFonts w:ascii="Arial" w:hAnsi="Arial" w:cs="Arial"/>
          <w:bCs/>
          <w:iCs/>
          <w:sz w:val="20"/>
          <w:szCs w:val="20"/>
        </w:rPr>
        <w:t>s sugerencias de incluir la remuneración de activos administrativos y operativos:</w:t>
      </w:r>
    </w:p>
    <w:p w14:paraId="10D0E009" w14:textId="77777777" w:rsidR="00AF5B55" w:rsidRPr="00AF5B55" w:rsidRDefault="00AF5B55" w:rsidP="00AF5B55">
      <w:pPr>
        <w:spacing w:after="0" w:line="240" w:lineRule="auto"/>
        <w:jc w:val="both"/>
        <w:rPr>
          <w:rFonts w:ascii="Arial" w:hAnsi="Arial" w:cs="Arial"/>
          <w:sz w:val="20"/>
          <w:szCs w:val="20"/>
        </w:rPr>
      </w:pPr>
    </w:p>
    <w:p w14:paraId="382F7477" w14:textId="77777777" w:rsidR="00AF5B55" w:rsidRPr="00AF5B55" w:rsidRDefault="00AF5B55" w:rsidP="00AF5B55">
      <w:pPr>
        <w:numPr>
          <w:ilvl w:val="0"/>
          <w:numId w:val="25"/>
        </w:numPr>
        <w:spacing w:after="0" w:line="240" w:lineRule="auto"/>
        <w:jc w:val="both"/>
        <w:rPr>
          <w:rFonts w:ascii="Arial" w:hAnsi="Arial" w:cs="Arial"/>
          <w:sz w:val="20"/>
          <w:szCs w:val="20"/>
        </w:rPr>
      </w:pPr>
      <w:r w:rsidRPr="00AF5B55">
        <w:rPr>
          <w:rFonts w:ascii="Arial" w:hAnsi="Arial" w:cs="Arial"/>
          <w:sz w:val="20"/>
          <w:szCs w:val="20"/>
          <w:lang w:val="es-MX"/>
        </w:rPr>
        <w:lastRenderedPageBreak/>
        <w:t>Modelo administrativo: Se incluyó el valor de la depreciación anual de los activos administrativos propiedad de la persona prestadora más la remuneración de los activos administrativos de propiedad de la persona prestadora,</w:t>
      </w:r>
      <w:r w:rsidRPr="00AF5B55" w:rsidDel="00B97A54">
        <w:rPr>
          <w:rFonts w:ascii="Arial" w:hAnsi="Arial" w:cs="Arial"/>
          <w:sz w:val="20"/>
          <w:szCs w:val="20"/>
          <w:lang w:val="es-MX"/>
        </w:rPr>
        <w:t xml:space="preserve"> </w:t>
      </w:r>
      <w:r w:rsidRPr="00AF5B55">
        <w:rPr>
          <w:rFonts w:ascii="Arial" w:hAnsi="Arial" w:cs="Arial"/>
          <w:sz w:val="20"/>
          <w:szCs w:val="20"/>
          <w:lang w:val="es-MX"/>
        </w:rPr>
        <w:t>con el factor establecido en la metodología</w:t>
      </w:r>
      <w:r w:rsidRPr="00AF5B55">
        <w:rPr>
          <w:rStyle w:val="Refdenotaalpie"/>
          <w:rFonts w:ascii="Arial" w:hAnsi="Arial" w:cs="Arial"/>
          <w:sz w:val="20"/>
          <w:szCs w:val="20"/>
          <w:lang w:val="es-CO"/>
        </w:rPr>
        <w:footnoteReference w:id="11"/>
      </w:r>
      <w:r w:rsidRPr="00AF5B55">
        <w:rPr>
          <w:rFonts w:ascii="Arial" w:hAnsi="Arial" w:cs="Arial"/>
          <w:sz w:val="20"/>
          <w:szCs w:val="20"/>
          <w:lang w:val="es-MX"/>
        </w:rPr>
        <w:t>.</w:t>
      </w:r>
    </w:p>
    <w:p w14:paraId="0F93BFBE" w14:textId="77777777" w:rsidR="00AF5B55" w:rsidRPr="00AF5B55" w:rsidRDefault="00AF5B55" w:rsidP="00AF5B55">
      <w:pPr>
        <w:spacing w:after="0" w:line="240" w:lineRule="auto"/>
        <w:ind w:left="720"/>
        <w:jc w:val="both"/>
        <w:rPr>
          <w:rFonts w:ascii="Arial" w:hAnsi="Arial" w:cs="Arial"/>
          <w:sz w:val="20"/>
          <w:szCs w:val="20"/>
        </w:rPr>
      </w:pPr>
    </w:p>
    <w:p w14:paraId="322F8C94" w14:textId="77777777" w:rsidR="00AF5B55" w:rsidRPr="00AF5B55" w:rsidRDefault="00AF5B55" w:rsidP="00AF5B55">
      <w:pPr>
        <w:numPr>
          <w:ilvl w:val="0"/>
          <w:numId w:val="25"/>
        </w:numPr>
        <w:spacing w:after="0" w:line="240" w:lineRule="auto"/>
        <w:jc w:val="both"/>
        <w:rPr>
          <w:rFonts w:ascii="Arial" w:hAnsi="Arial" w:cs="Arial"/>
          <w:sz w:val="20"/>
          <w:szCs w:val="20"/>
        </w:rPr>
      </w:pPr>
      <w:r w:rsidRPr="00AF5B55">
        <w:rPr>
          <w:rFonts w:ascii="Arial" w:hAnsi="Arial" w:cs="Arial"/>
          <w:sz w:val="20"/>
          <w:szCs w:val="20"/>
          <w:lang w:val="es-MX"/>
        </w:rPr>
        <w:t>Modelo Operativo: Se tuvo en cuenta el valor de la depreciación anual de los activos operativos de propiedad de la persona prestadora más la remuneración de los activos operativos de propiedad de la persona prestadora</w:t>
      </w:r>
      <w:r w:rsidRPr="00AF5B55" w:rsidDel="00B97A54">
        <w:rPr>
          <w:rFonts w:ascii="Arial" w:hAnsi="Arial" w:cs="Arial"/>
          <w:sz w:val="20"/>
          <w:szCs w:val="20"/>
          <w:lang w:val="es-MX"/>
        </w:rPr>
        <w:t xml:space="preserve"> </w:t>
      </w:r>
      <w:r w:rsidRPr="00AF5B55">
        <w:rPr>
          <w:rFonts w:ascii="Arial" w:hAnsi="Arial" w:cs="Arial"/>
          <w:sz w:val="20"/>
          <w:szCs w:val="20"/>
          <w:lang w:val="es-MX"/>
        </w:rPr>
        <w:t>con el factor de remuneración establecido en la metodología</w:t>
      </w:r>
      <w:r w:rsidRPr="00AF5B55">
        <w:rPr>
          <w:rStyle w:val="Refdenotaalpie"/>
          <w:rFonts w:ascii="Arial" w:hAnsi="Arial" w:cs="Arial"/>
          <w:sz w:val="20"/>
          <w:szCs w:val="20"/>
          <w:lang w:val="es-CO"/>
        </w:rPr>
        <w:footnoteReference w:id="12"/>
      </w:r>
      <w:r w:rsidRPr="00AF5B55">
        <w:rPr>
          <w:rFonts w:ascii="Arial" w:hAnsi="Arial" w:cs="Arial"/>
          <w:sz w:val="20"/>
          <w:szCs w:val="20"/>
          <w:lang w:val="es-MX"/>
        </w:rPr>
        <w:t>.</w:t>
      </w:r>
    </w:p>
    <w:p w14:paraId="6530D837" w14:textId="77777777" w:rsidR="000402B7" w:rsidRDefault="000402B7" w:rsidP="00AF5B55">
      <w:pPr>
        <w:spacing w:after="0" w:line="240" w:lineRule="auto"/>
        <w:jc w:val="both"/>
        <w:rPr>
          <w:rFonts w:ascii="Arial" w:hAnsi="Arial" w:cs="Arial"/>
          <w:sz w:val="20"/>
          <w:szCs w:val="20"/>
        </w:rPr>
      </w:pPr>
    </w:p>
    <w:p w14:paraId="1DE396A4" w14:textId="77777777" w:rsidR="003824B2" w:rsidRDefault="00AF5B55" w:rsidP="00AF5B55">
      <w:pPr>
        <w:spacing w:after="0" w:line="240" w:lineRule="auto"/>
        <w:jc w:val="both"/>
        <w:rPr>
          <w:rFonts w:ascii="Arial" w:hAnsi="Arial" w:cs="Arial"/>
          <w:sz w:val="20"/>
          <w:szCs w:val="20"/>
        </w:rPr>
      </w:pPr>
      <w:r w:rsidRPr="00AF5B55">
        <w:rPr>
          <w:rFonts w:ascii="Arial" w:hAnsi="Arial" w:cs="Arial"/>
          <w:sz w:val="20"/>
          <w:szCs w:val="20"/>
        </w:rPr>
        <w:t xml:space="preserve">De igual forma, </w:t>
      </w:r>
      <w:r w:rsidR="003824B2" w:rsidRPr="00AF5B55">
        <w:rPr>
          <w:rFonts w:ascii="Arial" w:hAnsi="Arial" w:cs="Arial"/>
          <w:sz w:val="20"/>
          <w:szCs w:val="20"/>
        </w:rPr>
        <w:t xml:space="preserve">en el cálculo del CAU* y el COU* </w:t>
      </w:r>
      <w:r w:rsidRPr="00AF5B55">
        <w:rPr>
          <w:rFonts w:ascii="Arial" w:hAnsi="Arial" w:cs="Arial"/>
          <w:sz w:val="20"/>
          <w:szCs w:val="20"/>
        </w:rPr>
        <w:t xml:space="preserve">se incluyó </w:t>
      </w:r>
      <w:r w:rsidR="003824B2" w:rsidRPr="00AF5B55">
        <w:rPr>
          <w:rFonts w:ascii="Arial" w:hAnsi="Arial" w:cs="Arial"/>
          <w:sz w:val="20"/>
          <w:szCs w:val="20"/>
        </w:rPr>
        <w:t>el valor de la remuneración de los activos administrativos y operativos que reconocer la metodología tarifaria.</w:t>
      </w:r>
      <w:r w:rsidRPr="00AF5B55">
        <w:rPr>
          <w:rFonts w:ascii="Arial" w:hAnsi="Arial" w:cs="Arial"/>
          <w:sz w:val="20"/>
          <w:szCs w:val="20"/>
        </w:rPr>
        <w:t xml:space="preserve"> En este sentido, se calculó</w:t>
      </w:r>
      <w:r w:rsidR="003824B2" w:rsidRPr="00AF5B55">
        <w:rPr>
          <w:rFonts w:ascii="Arial" w:hAnsi="Arial" w:cs="Arial"/>
          <w:sz w:val="20"/>
          <w:szCs w:val="20"/>
        </w:rPr>
        <w:t xml:space="preserve"> un sólo C</w:t>
      </w:r>
      <w:r w:rsidR="00050DA7">
        <w:rPr>
          <w:rFonts w:ascii="Arial" w:hAnsi="Arial" w:cs="Arial"/>
          <w:sz w:val="20"/>
          <w:szCs w:val="20"/>
        </w:rPr>
        <w:t>A</w:t>
      </w:r>
      <w:r w:rsidR="003824B2" w:rsidRPr="00AF5B55">
        <w:rPr>
          <w:rFonts w:ascii="Arial" w:hAnsi="Arial" w:cs="Arial"/>
          <w:sz w:val="20"/>
          <w:szCs w:val="20"/>
        </w:rPr>
        <w:t>b y C</w:t>
      </w:r>
      <w:r w:rsidR="00050DA7">
        <w:rPr>
          <w:rFonts w:ascii="Arial" w:hAnsi="Arial" w:cs="Arial"/>
          <w:sz w:val="20"/>
          <w:szCs w:val="20"/>
        </w:rPr>
        <w:t>O</w:t>
      </w:r>
      <w:r w:rsidR="003824B2" w:rsidRPr="00AF5B55">
        <w:rPr>
          <w:rFonts w:ascii="Arial" w:hAnsi="Arial" w:cs="Arial"/>
          <w:sz w:val="20"/>
          <w:szCs w:val="20"/>
        </w:rPr>
        <w:t>b, tanto para el modelo DEA como para calcular el CAU* y el COU*.</w:t>
      </w:r>
    </w:p>
    <w:p w14:paraId="3F16D131" w14:textId="77777777" w:rsidR="000402B7" w:rsidRDefault="000402B7" w:rsidP="00AF5B55">
      <w:pPr>
        <w:spacing w:after="0" w:line="240" w:lineRule="auto"/>
        <w:jc w:val="both"/>
        <w:rPr>
          <w:rFonts w:ascii="Arial" w:hAnsi="Arial" w:cs="Arial"/>
          <w:sz w:val="20"/>
          <w:szCs w:val="20"/>
        </w:rPr>
      </w:pPr>
    </w:p>
    <w:p w14:paraId="696426CE" w14:textId="77777777" w:rsidR="00AF5B55" w:rsidRPr="00AF5B55" w:rsidRDefault="00AF5B55" w:rsidP="00AF5B55">
      <w:pPr>
        <w:spacing w:after="0" w:line="240" w:lineRule="auto"/>
        <w:jc w:val="both"/>
        <w:rPr>
          <w:rFonts w:ascii="Arial" w:hAnsi="Arial" w:cs="Arial"/>
          <w:sz w:val="20"/>
          <w:szCs w:val="20"/>
        </w:rPr>
      </w:pPr>
    </w:p>
    <w:p w14:paraId="42319D27" w14:textId="2F979B89" w:rsidR="009C553A" w:rsidRDefault="009C553A" w:rsidP="00D37932">
      <w:pPr>
        <w:pStyle w:val="Ttulo2"/>
        <w:rPr>
          <w:lang w:val="es-CO" w:eastAsia="es-CO"/>
        </w:rPr>
      </w:pPr>
      <w:bookmarkStart w:id="14" w:name="_Toc506988583"/>
      <w:r>
        <w:t>RESPUESTA NO.</w:t>
      </w:r>
      <w:r w:rsidRPr="00097873">
        <w:fldChar w:fldCharType="begin"/>
      </w:r>
      <w:r w:rsidRPr="00097873">
        <w:instrText xml:space="preserve"> SEQ RESPUESTA_N. \* ARABIC </w:instrText>
      </w:r>
      <w:r w:rsidRPr="00097873">
        <w:fldChar w:fldCharType="separate"/>
      </w:r>
      <w:r>
        <w:rPr>
          <w:noProof/>
        </w:rPr>
        <w:t>5</w:t>
      </w:r>
      <w:r w:rsidRPr="00097873">
        <w:fldChar w:fldCharType="end"/>
      </w:r>
      <w:r w:rsidRPr="00097873">
        <w:t xml:space="preserve">. </w:t>
      </w:r>
      <w:r w:rsidR="009C2D53">
        <w:rPr>
          <w:lang w:val="es-CO" w:eastAsia="es-CO"/>
        </w:rPr>
        <w:t>REVISIÓN DE LOS</w:t>
      </w:r>
      <w:r w:rsidRPr="00C704F1">
        <w:rPr>
          <w:lang w:val="es-CO" w:eastAsia="es-CO"/>
        </w:rPr>
        <w:t xml:space="preserve"> VALOR</w:t>
      </w:r>
      <w:r w:rsidR="009C2D53">
        <w:rPr>
          <w:lang w:val="es-CO" w:eastAsia="es-CO"/>
        </w:rPr>
        <w:t>ES</w:t>
      </w:r>
      <w:r w:rsidRPr="00C704F1">
        <w:rPr>
          <w:lang w:val="es-CO" w:eastAsia="es-CO"/>
        </w:rPr>
        <w:t xml:space="preserve"> DE LAS VARIABLES DEL MODELO</w:t>
      </w:r>
      <w:bookmarkEnd w:id="14"/>
    </w:p>
    <w:p w14:paraId="0466C5BA" w14:textId="77777777" w:rsidR="00D37932" w:rsidRDefault="00D37932" w:rsidP="00D37932">
      <w:pPr>
        <w:spacing w:after="0" w:line="240" w:lineRule="auto"/>
        <w:jc w:val="both"/>
        <w:rPr>
          <w:rFonts w:ascii="Arial" w:hAnsi="Arial" w:cs="Arial"/>
          <w:sz w:val="20"/>
          <w:szCs w:val="20"/>
        </w:rPr>
      </w:pPr>
    </w:p>
    <w:p w14:paraId="75BC1AE7" w14:textId="2A06447E" w:rsidR="00D37932" w:rsidRDefault="005B72E8" w:rsidP="00D37932">
      <w:pPr>
        <w:spacing w:after="0" w:line="240" w:lineRule="auto"/>
        <w:jc w:val="both"/>
        <w:rPr>
          <w:rFonts w:ascii="Arial" w:hAnsi="Arial" w:cs="Arial"/>
          <w:sz w:val="20"/>
          <w:szCs w:val="20"/>
        </w:rPr>
      </w:pPr>
      <w:r>
        <w:rPr>
          <w:rFonts w:ascii="Arial" w:hAnsi="Arial" w:cs="Arial"/>
          <w:sz w:val="20"/>
          <w:szCs w:val="20"/>
        </w:rPr>
        <w:t xml:space="preserve">En relación con </w:t>
      </w:r>
      <w:r w:rsidR="00256215">
        <w:rPr>
          <w:rFonts w:ascii="Arial" w:hAnsi="Arial" w:cs="Arial"/>
          <w:sz w:val="20"/>
          <w:szCs w:val="20"/>
        </w:rPr>
        <w:t>la información que</w:t>
      </w:r>
      <w:r>
        <w:rPr>
          <w:rFonts w:ascii="Arial" w:hAnsi="Arial" w:cs="Arial"/>
          <w:sz w:val="20"/>
          <w:szCs w:val="20"/>
        </w:rPr>
        <w:t xml:space="preserve"> se consideró como dato atípico, </w:t>
      </w:r>
      <w:r w:rsidR="00256215">
        <w:rPr>
          <w:rFonts w:ascii="Arial" w:hAnsi="Arial" w:cs="Arial"/>
          <w:sz w:val="20"/>
          <w:szCs w:val="20"/>
        </w:rPr>
        <w:t>teniendo en cuenta</w:t>
      </w:r>
      <w:r>
        <w:rPr>
          <w:rFonts w:ascii="Arial" w:hAnsi="Arial" w:cs="Arial"/>
          <w:sz w:val="20"/>
          <w:szCs w:val="20"/>
        </w:rPr>
        <w:t xml:space="preserve"> lo definido en </w:t>
      </w:r>
      <w:r w:rsidRPr="00F7314C">
        <w:rPr>
          <w:rFonts w:ascii="Arial" w:hAnsi="Arial" w:cs="Arial"/>
          <w:sz w:val="20"/>
          <w:szCs w:val="20"/>
          <w:lang w:eastAsia="es-CO"/>
        </w:rPr>
        <w:t xml:space="preserve">la </w:t>
      </w:r>
      <w:r w:rsidRPr="00F7314C">
        <w:rPr>
          <w:rFonts w:ascii="Arial" w:hAnsi="Arial" w:cs="Arial"/>
          <w:iCs/>
          <w:sz w:val="20"/>
          <w:szCs w:val="20"/>
          <w:lang w:eastAsia="es-CO"/>
        </w:rPr>
        <w:t>Resolución CRA 770 de 2016,</w:t>
      </w:r>
      <w:r w:rsidRPr="00F7314C">
        <w:rPr>
          <w:rFonts w:ascii="Arial" w:hAnsi="Arial" w:cs="Arial"/>
          <w:b/>
          <w:bCs/>
          <w:i/>
          <w:iCs/>
          <w:sz w:val="20"/>
          <w:szCs w:val="20"/>
          <w:lang w:val="es-CO" w:eastAsia="es-CO"/>
        </w:rPr>
        <w:t xml:space="preserve"> </w:t>
      </w:r>
      <w:r w:rsidRPr="00F7314C">
        <w:rPr>
          <w:rFonts w:ascii="Arial" w:hAnsi="Arial" w:cs="Arial"/>
          <w:bCs/>
          <w:i/>
          <w:iCs/>
          <w:sz w:val="20"/>
          <w:szCs w:val="20"/>
          <w:lang w:val="es-CO" w:eastAsia="es-CO"/>
        </w:rPr>
        <w:t xml:space="preserve">“Por la cual </w:t>
      </w:r>
      <w:r w:rsidRPr="00F7314C">
        <w:rPr>
          <w:rFonts w:ascii="Arial" w:hAnsi="Arial" w:cs="Arial"/>
          <w:bCs/>
          <w:i/>
          <w:iCs/>
          <w:sz w:val="20"/>
          <w:szCs w:val="20"/>
          <w:lang w:eastAsia="es-CO"/>
        </w:rPr>
        <w:t>se modifica el Anexo II de la Resolución CRA 688 de 2014, modificado y adicionado por el artículo 47 de la Resolución CRA 735 de 2015”</w:t>
      </w:r>
      <w:r w:rsidR="00256215">
        <w:rPr>
          <w:rFonts w:ascii="Arial" w:hAnsi="Arial" w:cs="Arial"/>
          <w:bCs/>
          <w:i/>
          <w:iCs/>
          <w:sz w:val="20"/>
          <w:szCs w:val="20"/>
          <w:lang w:eastAsia="es-CO"/>
        </w:rPr>
        <w:t xml:space="preserve">, </w:t>
      </w:r>
      <w:r w:rsidRPr="00097873">
        <w:rPr>
          <w:rFonts w:ascii="Arial" w:hAnsi="Arial" w:cs="Arial"/>
          <w:sz w:val="20"/>
          <w:szCs w:val="20"/>
        </w:rPr>
        <w:t>la identificación de datos atípicos</w:t>
      </w:r>
      <w:r w:rsidR="00256215">
        <w:rPr>
          <w:rFonts w:ascii="Arial" w:hAnsi="Arial" w:cs="Arial"/>
          <w:sz w:val="20"/>
          <w:szCs w:val="20"/>
        </w:rPr>
        <w:t xml:space="preserve"> se realizó</w:t>
      </w:r>
      <w:r w:rsidRPr="00097873">
        <w:rPr>
          <w:rFonts w:ascii="Arial" w:hAnsi="Arial" w:cs="Arial"/>
          <w:sz w:val="20"/>
          <w:szCs w:val="20"/>
        </w:rPr>
        <w:t xml:space="preserve"> a través del análisis de dispersión sobre aquellos datos que estén por fuera del percentil 25 menos 1,5 veces el rango intercuartílico y del percentil 75 más 1,5 veces el rango intercuartílico</w:t>
      </w:r>
      <w:r w:rsidRPr="00647951">
        <w:rPr>
          <w:rFonts w:ascii="Arial" w:hAnsi="Arial" w:cs="Arial"/>
          <w:sz w:val="20"/>
          <w:szCs w:val="20"/>
          <w:vertAlign w:val="superscript"/>
        </w:rPr>
        <w:footnoteReference w:id="13"/>
      </w:r>
      <w:r w:rsidR="00256215" w:rsidRPr="00647951">
        <w:rPr>
          <w:rFonts w:ascii="Arial" w:hAnsi="Arial" w:cs="Arial"/>
          <w:sz w:val="20"/>
          <w:szCs w:val="20"/>
        </w:rPr>
        <w:t xml:space="preserve">. </w:t>
      </w:r>
    </w:p>
    <w:p w14:paraId="4C6101CF" w14:textId="77777777" w:rsidR="00D37932" w:rsidRDefault="00D37932" w:rsidP="00D37932">
      <w:pPr>
        <w:spacing w:after="0" w:line="240" w:lineRule="auto"/>
        <w:jc w:val="both"/>
        <w:rPr>
          <w:rFonts w:ascii="Arial" w:hAnsi="Arial" w:cs="Arial"/>
          <w:sz w:val="20"/>
          <w:szCs w:val="20"/>
        </w:rPr>
      </w:pPr>
    </w:p>
    <w:p w14:paraId="408F3FA3" w14:textId="77777777" w:rsidR="008C1E16" w:rsidRPr="00097873" w:rsidRDefault="00714712" w:rsidP="008C1E16">
      <w:pPr>
        <w:spacing w:after="0" w:line="240" w:lineRule="auto"/>
        <w:jc w:val="both"/>
        <w:rPr>
          <w:rFonts w:ascii="Arial" w:hAnsi="Arial" w:cs="Arial"/>
          <w:sz w:val="20"/>
          <w:szCs w:val="20"/>
          <w:lang w:val="es-CO"/>
        </w:rPr>
      </w:pPr>
      <w:r>
        <w:rPr>
          <w:rFonts w:ascii="Arial" w:hAnsi="Arial" w:cs="Arial"/>
          <w:sz w:val="20"/>
          <w:szCs w:val="20"/>
          <w:lang w:val="es-CO"/>
        </w:rPr>
        <w:t xml:space="preserve">De igual forma, se </w:t>
      </w:r>
      <w:r w:rsidR="0015472D">
        <w:rPr>
          <w:rFonts w:ascii="Arial" w:hAnsi="Arial" w:cs="Arial"/>
          <w:sz w:val="20"/>
          <w:szCs w:val="20"/>
          <w:lang w:val="es-CO"/>
        </w:rPr>
        <w:t>consideraron como</w:t>
      </w:r>
      <w:r w:rsidR="0015472D" w:rsidRPr="00097873">
        <w:rPr>
          <w:rFonts w:ascii="Arial" w:hAnsi="Arial" w:cs="Arial"/>
          <w:sz w:val="20"/>
          <w:szCs w:val="20"/>
          <w:lang w:val="es-CO"/>
        </w:rPr>
        <w:t xml:space="preserve"> datos atípicos no justificables</w:t>
      </w:r>
      <w:r w:rsidR="0015472D">
        <w:rPr>
          <w:rFonts w:ascii="Arial" w:hAnsi="Arial" w:cs="Arial"/>
          <w:sz w:val="20"/>
          <w:szCs w:val="20"/>
          <w:lang w:val="es-CO"/>
        </w:rPr>
        <w:t xml:space="preserve">, aquellos </w:t>
      </w:r>
      <w:r w:rsidR="008C1E16" w:rsidRPr="00097873">
        <w:rPr>
          <w:rFonts w:ascii="Arial" w:hAnsi="Arial" w:cs="Arial"/>
          <w:sz w:val="20"/>
          <w:szCs w:val="20"/>
          <w:lang w:val="es-CO"/>
        </w:rPr>
        <w:t>datos atípicos que correspond</w:t>
      </w:r>
      <w:r w:rsidR="0015472D">
        <w:rPr>
          <w:rFonts w:ascii="Arial" w:hAnsi="Arial" w:cs="Arial"/>
          <w:sz w:val="20"/>
          <w:szCs w:val="20"/>
          <w:lang w:val="es-CO"/>
        </w:rPr>
        <w:t>ía</w:t>
      </w:r>
      <w:r w:rsidR="008C1E16" w:rsidRPr="00097873">
        <w:rPr>
          <w:rFonts w:ascii="Arial" w:hAnsi="Arial" w:cs="Arial"/>
          <w:sz w:val="20"/>
          <w:szCs w:val="20"/>
          <w:lang w:val="es-CO"/>
        </w:rPr>
        <w:t>n a errores de digitación</w:t>
      </w:r>
      <w:r w:rsidR="0015472D">
        <w:rPr>
          <w:rFonts w:ascii="Arial" w:hAnsi="Arial" w:cs="Arial"/>
          <w:sz w:val="20"/>
          <w:szCs w:val="20"/>
          <w:lang w:val="es-CO"/>
        </w:rPr>
        <w:t>. A</w:t>
      </w:r>
      <w:r w:rsidR="008C1E16" w:rsidRPr="00097873">
        <w:rPr>
          <w:rFonts w:ascii="Arial" w:hAnsi="Arial" w:cs="Arial"/>
          <w:sz w:val="20"/>
          <w:szCs w:val="20"/>
          <w:lang w:val="es-CO"/>
        </w:rPr>
        <w:t>dicionalmente</w:t>
      </w:r>
      <w:r w:rsidR="0015472D">
        <w:rPr>
          <w:rFonts w:ascii="Arial" w:hAnsi="Arial" w:cs="Arial"/>
          <w:sz w:val="20"/>
          <w:szCs w:val="20"/>
          <w:lang w:val="es-CO"/>
        </w:rPr>
        <w:t>,</w:t>
      </w:r>
      <w:r w:rsidR="008C1E16" w:rsidRPr="00097873">
        <w:rPr>
          <w:rFonts w:ascii="Arial" w:hAnsi="Arial" w:cs="Arial"/>
          <w:sz w:val="20"/>
          <w:szCs w:val="20"/>
          <w:lang w:val="es-CO"/>
        </w:rPr>
        <w:t xml:space="preserve"> es importante aclarar que el no reporte de información en uno de los años de la serie configur</w:t>
      </w:r>
      <w:r w:rsidR="0015472D">
        <w:rPr>
          <w:rFonts w:ascii="Arial" w:hAnsi="Arial" w:cs="Arial"/>
          <w:sz w:val="20"/>
          <w:szCs w:val="20"/>
          <w:lang w:val="es-CO"/>
        </w:rPr>
        <w:t>ó</w:t>
      </w:r>
      <w:r w:rsidR="008C1E16" w:rsidRPr="00097873">
        <w:rPr>
          <w:rFonts w:ascii="Arial" w:hAnsi="Arial" w:cs="Arial"/>
          <w:sz w:val="20"/>
          <w:szCs w:val="20"/>
          <w:lang w:val="es-CO"/>
        </w:rPr>
        <w:t xml:space="preserve"> un reporte insatisfactorio.</w:t>
      </w:r>
    </w:p>
    <w:p w14:paraId="52891719" w14:textId="57555C4E" w:rsidR="005B72E8" w:rsidRDefault="005B72E8" w:rsidP="00D37932">
      <w:pPr>
        <w:spacing w:after="0" w:line="240" w:lineRule="auto"/>
        <w:rPr>
          <w:lang w:val="es-CO" w:eastAsia="es-CO"/>
        </w:rPr>
      </w:pPr>
    </w:p>
    <w:p w14:paraId="5CF82AAC" w14:textId="77777777" w:rsidR="00647951" w:rsidRDefault="00647951" w:rsidP="00647951">
      <w:pPr>
        <w:spacing w:after="0" w:line="240" w:lineRule="auto"/>
        <w:jc w:val="both"/>
        <w:rPr>
          <w:rFonts w:ascii="Arial" w:hAnsi="Arial" w:cs="Arial"/>
          <w:sz w:val="20"/>
          <w:szCs w:val="20"/>
        </w:rPr>
      </w:pPr>
      <w:r w:rsidRPr="00647951">
        <w:rPr>
          <w:rFonts w:ascii="Arial" w:hAnsi="Arial" w:cs="Arial"/>
          <w:sz w:val="20"/>
          <w:szCs w:val="20"/>
        </w:rPr>
        <w:t>En este sentido, ante la observación si debería considerarse un dato atípico cuando se presente mayor número de suscriptores con micromedición respecto al número total de suscriptores de acueducto, se reitera que el respectivo análisis se realizó de acuerdo con los criterios definidos en la mencionada Resolución CRA 688 de 2014, por lo que todo aquello que no se encuentra en el marco de lo señalado en esta resolución no se tendrá en cuenta como dato atípico.</w:t>
      </w:r>
    </w:p>
    <w:p w14:paraId="160E13C9" w14:textId="77777777" w:rsidR="00647951" w:rsidRDefault="00647951" w:rsidP="00D37932">
      <w:pPr>
        <w:spacing w:after="0" w:line="240" w:lineRule="auto"/>
        <w:rPr>
          <w:lang w:val="es-CO" w:eastAsia="es-CO"/>
        </w:rPr>
      </w:pPr>
    </w:p>
    <w:p w14:paraId="7047ED79" w14:textId="77777777" w:rsidR="00714712" w:rsidRPr="00F7314C" w:rsidRDefault="00714712" w:rsidP="00714712">
      <w:pPr>
        <w:spacing w:after="0" w:line="240" w:lineRule="auto"/>
        <w:jc w:val="both"/>
        <w:rPr>
          <w:rFonts w:ascii="Arial" w:hAnsi="Arial" w:cs="Arial"/>
          <w:sz w:val="20"/>
          <w:lang w:val="es-CO"/>
        </w:rPr>
      </w:pPr>
      <w:r>
        <w:rPr>
          <w:rFonts w:ascii="Arial" w:hAnsi="Arial" w:cs="Arial"/>
          <w:sz w:val="20"/>
          <w:szCs w:val="20"/>
          <w:lang w:val="es-MX"/>
        </w:rPr>
        <w:t>Ahora bien, p</w:t>
      </w:r>
      <w:r w:rsidRPr="00F7314C">
        <w:rPr>
          <w:rFonts w:ascii="Arial" w:hAnsi="Arial" w:cs="Arial"/>
          <w:sz w:val="20"/>
          <w:szCs w:val="20"/>
          <w:lang w:val="es-MX"/>
        </w:rPr>
        <w:t xml:space="preserve">ara efectos de la estimación del puntaje DEA, se </w:t>
      </w:r>
      <w:r w:rsidRPr="00F7314C">
        <w:rPr>
          <w:rFonts w:ascii="Arial" w:hAnsi="Arial" w:cs="Arial"/>
          <w:sz w:val="20"/>
          <w:lang w:val="es-CO"/>
        </w:rPr>
        <w:t>evaluó la eficiencia de aquellas personas prestadoras del primer segmento que cumplieron con los siguientes parámetros en el año base (2014):</w:t>
      </w:r>
    </w:p>
    <w:p w14:paraId="126E4188" w14:textId="77777777" w:rsidR="00714712" w:rsidRDefault="00714712" w:rsidP="00714712">
      <w:pPr>
        <w:spacing w:after="0" w:line="240" w:lineRule="auto"/>
        <w:jc w:val="both"/>
        <w:rPr>
          <w:rFonts w:ascii="Arial" w:hAnsi="Arial" w:cs="Arial"/>
          <w:sz w:val="20"/>
          <w:lang w:val="es-CO"/>
        </w:rPr>
      </w:pPr>
    </w:p>
    <w:p w14:paraId="2AD4BA93" w14:textId="319784B0" w:rsidR="00714712" w:rsidRPr="00F7314C" w:rsidRDefault="00714712" w:rsidP="00714712">
      <w:pPr>
        <w:pStyle w:val="Epgrafe1"/>
        <w:spacing w:after="0" w:line="240" w:lineRule="auto"/>
        <w:jc w:val="center"/>
        <w:rPr>
          <w:rFonts w:ascii="Arial" w:hAnsi="Arial" w:cs="Arial"/>
          <w:b w:val="0"/>
          <w:lang w:val="es-MX"/>
        </w:rPr>
      </w:pPr>
      <w:bookmarkStart w:id="15" w:name="_Toc492664381"/>
      <w:bookmarkStart w:id="16" w:name="_Toc506988566"/>
      <w:r w:rsidRPr="00F7314C">
        <w:rPr>
          <w:rFonts w:ascii="Arial" w:hAnsi="Arial" w:cs="Arial"/>
        </w:rPr>
        <w:t xml:space="preserve">Tabla </w:t>
      </w:r>
      <w:r w:rsidRPr="00F7314C">
        <w:rPr>
          <w:rFonts w:ascii="Arial" w:hAnsi="Arial" w:cs="Arial"/>
        </w:rPr>
        <w:fldChar w:fldCharType="begin"/>
      </w:r>
      <w:r w:rsidRPr="00F7314C">
        <w:rPr>
          <w:rFonts w:ascii="Arial" w:hAnsi="Arial" w:cs="Arial"/>
        </w:rPr>
        <w:instrText xml:space="preserve"> SEQ Tabla \* ARABIC </w:instrText>
      </w:r>
      <w:r w:rsidRPr="00F7314C">
        <w:rPr>
          <w:rFonts w:ascii="Arial" w:hAnsi="Arial" w:cs="Arial"/>
        </w:rPr>
        <w:fldChar w:fldCharType="separate"/>
      </w:r>
      <w:r w:rsidR="004C0CEB">
        <w:rPr>
          <w:rFonts w:ascii="Arial" w:hAnsi="Arial" w:cs="Arial"/>
          <w:noProof/>
        </w:rPr>
        <w:t>3</w:t>
      </w:r>
      <w:r w:rsidRPr="00F7314C">
        <w:rPr>
          <w:rFonts w:ascii="Arial" w:hAnsi="Arial" w:cs="Arial"/>
        </w:rPr>
        <w:fldChar w:fldCharType="end"/>
      </w:r>
      <w:r w:rsidRPr="00F7314C">
        <w:rPr>
          <w:rFonts w:ascii="Arial" w:hAnsi="Arial" w:cs="Arial"/>
        </w:rPr>
        <w:t>. Parámetros de inclusión</w:t>
      </w:r>
      <w:bookmarkEnd w:id="15"/>
      <w:bookmarkEnd w:id="16"/>
    </w:p>
    <w:tbl>
      <w:tblPr>
        <w:tblW w:w="487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473"/>
        <w:gridCol w:w="671"/>
        <w:gridCol w:w="2146"/>
        <w:gridCol w:w="5429"/>
      </w:tblGrid>
      <w:tr w:rsidR="00714712" w:rsidRPr="00FF7E3D" w14:paraId="09AD0D03" w14:textId="77777777" w:rsidTr="00714712">
        <w:trPr>
          <w:trHeight w:val="302"/>
          <w:tblHeader/>
        </w:trPr>
        <w:tc>
          <w:tcPr>
            <w:tcW w:w="1103" w:type="pct"/>
            <w:gridSpan w:val="2"/>
            <w:tcBorders>
              <w:bottom w:val="single" w:sz="12" w:space="0" w:color="9CC2E5"/>
            </w:tcBorders>
            <w:shd w:val="clear" w:color="auto" w:fill="auto"/>
            <w:noWrap/>
            <w:vAlign w:val="center"/>
            <w:hideMark/>
          </w:tcPr>
          <w:p w14:paraId="3E066DC6" w14:textId="77777777" w:rsidR="00714712" w:rsidRPr="00F7314C" w:rsidRDefault="00714712" w:rsidP="00714712">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Parámetro</w:t>
            </w:r>
          </w:p>
        </w:tc>
        <w:tc>
          <w:tcPr>
            <w:tcW w:w="1104" w:type="pct"/>
            <w:tcBorders>
              <w:bottom w:val="single" w:sz="12" w:space="0" w:color="9CC2E5"/>
            </w:tcBorders>
            <w:shd w:val="clear" w:color="auto" w:fill="auto"/>
            <w:vAlign w:val="center"/>
          </w:tcPr>
          <w:p w14:paraId="17AE0CA4" w14:textId="77777777" w:rsidR="00714712" w:rsidRPr="00F7314C" w:rsidRDefault="00714712" w:rsidP="00714712">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Unidad</w:t>
            </w:r>
          </w:p>
        </w:tc>
        <w:tc>
          <w:tcPr>
            <w:tcW w:w="2793" w:type="pct"/>
            <w:tcBorders>
              <w:bottom w:val="single" w:sz="12" w:space="0" w:color="9CC2E5"/>
            </w:tcBorders>
            <w:shd w:val="clear" w:color="auto" w:fill="auto"/>
            <w:vAlign w:val="center"/>
          </w:tcPr>
          <w:p w14:paraId="0B279C8A" w14:textId="77777777" w:rsidR="00714712" w:rsidRPr="00F7314C" w:rsidRDefault="00714712" w:rsidP="00714712">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Fórmula</w:t>
            </w:r>
          </w:p>
        </w:tc>
      </w:tr>
      <w:tr w:rsidR="00714712" w:rsidRPr="00FF7E3D" w14:paraId="63B0D09D" w14:textId="77777777" w:rsidTr="00714712">
        <w:trPr>
          <w:trHeight w:val="302"/>
        </w:trPr>
        <w:tc>
          <w:tcPr>
            <w:tcW w:w="758" w:type="pct"/>
            <w:shd w:val="clear" w:color="auto" w:fill="DEEAF6"/>
            <w:noWrap/>
            <w:vAlign w:val="center"/>
            <w:hideMark/>
          </w:tcPr>
          <w:p w14:paraId="4ED8EC61"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r w:rsidRPr="00F7314C">
              <w:rPr>
                <w:rFonts w:ascii="Arial" w:eastAsia="Times New Roman" w:hAnsi="Arial" w:cs="Arial"/>
                <w:bCs/>
                <w:sz w:val="16"/>
                <w:szCs w:val="16"/>
                <w:lang w:val="es-CO" w:eastAsia="es-CO"/>
              </w:rPr>
              <w:t>Continuidad</w:t>
            </w:r>
          </w:p>
        </w:tc>
        <w:tc>
          <w:tcPr>
            <w:tcW w:w="345" w:type="pct"/>
            <w:shd w:val="clear" w:color="auto" w:fill="DEEAF6"/>
            <w:noWrap/>
            <w:vAlign w:val="center"/>
            <w:hideMark/>
          </w:tcPr>
          <w:p w14:paraId="72F1193B"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r w:rsidRPr="00F7314C">
              <w:rPr>
                <w:rFonts w:ascii="Arial" w:eastAsia="Times New Roman" w:hAnsi="Arial" w:cs="Arial"/>
                <w:bCs/>
                <w:sz w:val="16"/>
                <w:szCs w:val="16"/>
                <w:lang w:val="es-CO" w:eastAsia="es-CO"/>
              </w:rPr>
              <w:t>&gt; 95%</w:t>
            </w:r>
          </w:p>
        </w:tc>
        <w:tc>
          <w:tcPr>
            <w:tcW w:w="1104" w:type="pct"/>
            <w:shd w:val="clear" w:color="auto" w:fill="DEEAF6"/>
            <w:vAlign w:val="center"/>
          </w:tcPr>
          <w:p w14:paraId="2661DE07" w14:textId="77777777" w:rsidR="00714712" w:rsidRPr="00F7314C" w:rsidRDefault="00714712" w:rsidP="00714712">
            <w:pPr>
              <w:suppressAutoHyphens w:val="0"/>
              <w:spacing w:after="0" w:line="240" w:lineRule="auto"/>
              <w:jc w:val="both"/>
              <w:rPr>
                <w:rFonts w:ascii="Arial" w:eastAsia="Times New Roman" w:hAnsi="Arial" w:cs="Arial"/>
                <w:bCs/>
                <w:sz w:val="16"/>
                <w:szCs w:val="16"/>
                <w:lang w:val="es-CO" w:eastAsia="es-CO"/>
              </w:rPr>
            </w:pPr>
            <w:r w:rsidRPr="00F7314C">
              <w:rPr>
                <w:rFonts w:ascii="Arial" w:eastAsia="Times New Roman" w:hAnsi="Arial" w:cs="Arial"/>
                <w:bCs/>
                <w:sz w:val="16"/>
                <w:szCs w:val="16"/>
                <w:lang w:val="es-CO" w:eastAsia="es-CO"/>
              </w:rPr>
              <w:t>Artículo 2.4.2.29 Formulario continuidad en la oferta del servicio de acueducto del Anexo de la Resolución No. SSPD 2010300048765 de 14 de diciembre de 2010</w:t>
            </w:r>
          </w:p>
        </w:tc>
        <w:tc>
          <w:tcPr>
            <w:tcW w:w="2793" w:type="pct"/>
            <w:shd w:val="clear" w:color="auto" w:fill="DEEAF6"/>
            <w:vAlign w:val="center"/>
          </w:tcPr>
          <w:p w14:paraId="138F741C" w14:textId="77777777" w:rsidR="00714712" w:rsidRPr="00F7314C" w:rsidRDefault="00714712" w:rsidP="00714712">
            <w:pPr>
              <w:pStyle w:val="Prrafodelista"/>
              <w:tabs>
                <w:tab w:val="left" w:pos="284"/>
              </w:tabs>
              <w:spacing w:after="0" w:line="240" w:lineRule="auto"/>
              <w:ind w:left="720"/>
              <w:jc w:val="center"/>
              <w:rPr>
                <w:rFonts w:ascii="Arial" w:hAnsi="Arial" w:cs="Arial"/>
                <w:sz w:val="16"/>
                <w:szCs w:val="16"/>
                <w:lang w:val="es-CO"/>
              </w:rPr>
            </w:pPr>
          </w:p>
          <w:p w14:paraId="0166072E" w14:textId="77777777" w:rsidR="00714712" w:rsidRPr="006838BB" w:rsidRDefault="006838BB" w:rsidP="00714712">
            <w:pPr>
              <w:pStyle w:val="Prrafodelista"/>
              <w:tabs>
                <w:tab w:val="left" w:pos="284"/>
              </w:tabs>
              <w:spacing w:after="0" w:line="240" w:lineRule="auto"/>
              <w:ind w:left="720"/>
              <w:jc w:val="center"/>
              <w:rPr>
                <w:rFonts w:ascii="Arial" w:hAnsi="Arial" w:cs="Arial"/>
                <w:sz w:val="16"/>
                <w:szCs w:val="16"/>
                <w:lang w:val="es-CO"/>
              </w:rPr>
            </w:pPr>
            <m:oMathPara>
              <m:oMath>
                <m:r>
                  <w:rPr>
                    <w:rFonts w:ascii="Cambria Math" w:hAnsi="Cambria Math" w:cs="Arial"/>
                    <w:sz w:val="16"/>
                    <w:szCs w:val="16"/>
                    <w:lang w:val="es-CO"/>
                  </w:rPr>
                  <m:t>Continuidad </m:t>
                </m:r>
                <m:d>
                  <m:dPr>
                    <m:ctrlPr>
                      <w:rPr>
                        <w:rFonts w:ascii="Cambria Math" w:hAnsi="Cambria Math" w:cs="Arial"/>
                        <w:i/>
                        <w:iCs/>
                        <w:sz w:val="16"/>
                        <w:szCs w:val="16"/>
                        <w:lang w:val="es-CO"/>
                      </w:rPr>
                    </m:ctrlPr>
                  </m:dPr>
                  <m:e>
                    <m:r>
                      <w:rPr>
                        <w:rFonts w:ascii="Cambria Math" w:hAnsi="Cambria Math" w:cs="Arial"/>
                        <w:sz w:val="16"/>
                        <w:szCs w:val="16"/>
                        <w:lang w:val="es-CO"/>
                      </w:rPr>
                      <m:t>%</m:t>
                    </m:r>
                  </m:e>
                </m:d>
                <m:r>
                  <w:rPr>
                    <w:rFonts w:ascii="Cambria Math" w:hAnsi="Cambria Math" w:cs="Arial"/>
                    <w:sz w:val="16"/>
                    <w:szCs w:val="16"/>
                    <w:lang w:val="es-CO"/>
                  </w:rPr>
                  <m:t>= </m:t>
                </m:r>
                <m:f>
                  <m:fPr>
                    <m:ctrlPr>
                      <w:rPr>
                        <w:rFonts w:ascii="Cambria Math" w:hAnsi="Cambria Math" w:cs="Arial"/>
                        <w:i/>
                        <w:iCs/>
                        <w:sz w:val="16"/>
                        <w:szCs w:val="16"/>
                        <w:lang w:val="es-CO"/>
                      </w:rPr>
                    </m:ctrlPr>
                  </m:fPr>
                  <m:num>
                    <m:nary>
                      <m:naryPr>
                        <m:chr m:val="∑"/>
                        <m:ctrlPr>
                          <w:rPr>
                            <w:rFonts w:ascii="Cambria Math" w:hAnsi="Cambria Math" w:cs="Arial"/>
                            <w:i/>
                            <w:iCs/>
                            <w:sz w:val="16"/>
                            <w:szCs w:val="16"/>
                            <w:lang w:val="es-CO"/>
                          </w:rPr>
                        </m:ctrlPr>
                      </m:naryPr>
                      <m:sub>
                        <m:r>
                          <w:rPr>
                            <w:rFonts w:ascii="Cambria Math" w:hAnsi="Cambria Math" w:cs="Arial"/>
                            <w:sz w:val="16"/>
                            <w:szCs w:val="16"/>
                            <w:lang w:val="es-CO"/>
                          </w:rPr>
                          <m:t>n=1</m:t>
                        </m:r>
                      </m:sub>
                      <m:sup>
                        <m:r>
                          <w:rPr>
                            <w:rFonts w:ascii="Cambria Math" w:hAnsi="Cambria Math" w:cs="Arial"/>
                            <w:sz w:val="16"/>
                            <w:szCs w:val="16"/>
                            <w:lang w:val="es-CO"/>
                          </w:rPr>
                          <m:t>12</m:t>
                        </m:r>
                      </m:sup>
                      <m:e>
                        <m:r>
                          <w:rPr>
                            <w:rFonts w:ascii="Cambria Math" w:hAnsi="Cambria Math" w:cs="Arial"/>
                            <w:sz w:val="16"/>
                            <w:szCs w:val="16"/>
                            <w:lang w:val="es-CO"/>
                          </w:rPr>
                          <m:t>horas al mes con servicio</m:t>
                        </m:r>
                      </m:e>
                    </m:nary>
                  </m:num>
                  <m:den>
                    <m:r>
                      <w:rPr>
                        <w:rFonts w:ascii="Cambria Math" w:hAnsi="Cambria Math" w:cs="Arial"/>
                        <w:sz w:val="16"/>
                        <w:szCs w:val="16"/>
                        <w:lang w:val="es-CO"/>
                      </w:rPr>
                      <m:t>8.760</m:t>
                    </m:r>
                  </m:den>
                </m:f>
                <m:r>
                  <w:rPr>
                    <w:rFonts w:ascii="Cambria Math" w:hAnsi="Cambria Math" w:cs="Arial"/>
                    <w:sz w:val="16"/>
                    <w:szCs w:val="16"/>
                    <w:lang w:val="es-CO"/>
                  </w:rPr>
                  <m:t>*100%</m:t>
                </m:r>
              </m:oMath>
            </m:oMathPara>
          </w:p>
          <w:p w14:paraId="422E1B3F" w14:textId="77777777" w:rsidR="00714712" w:rsidRPr="00F7314C" w:rsidRDefault="00714712" w:rsidP="00714712">
            <w:pPr>
              <w:pStyle w:val="Prrafodelista"/>
              <w:tabs>
                <w:tab w:val="left" w:pos="284"/>
              </w:tabs>
              <w:spacing w:after="0" w:line="240" w:lineRule="auto"/>
              <w:ind w:left="0" w:hanging="1"/>
              <w:jc w:val="center"/>
              <w:rPr>
                <w:rFonts w:ascii="Arial" w:hAnsi="Arial" w:cs="Arial"/>
                <w:sz w:val="16"/>
                <w:szCs w:val="16"/>
                <w:lang w:val="es-CO"/>
              </w:rPr>
            </w:pPr>
          </w:p>
          <w:p w14:paraId="7DD807D1"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p>
        </w:tc>
      </w:tr>
      <w:tr w:rsidR="00714712" w:rsidRPr="00F7314C" w14:paraId="7D35432D" w14:textId="77777777" w:rsidTr="00714712">
        <w:trPr>
          <w:trHeight w:val="302"/>
        </w:trPr>
        <w:tc>
          <w:tcPr>
            <w:tcW w:w="758" w:type="pct"/>
            <w:shd w:val="clear" w:color="auto" w:fill="auto"/>
            <w:noWrap/>
            <w:vAlign w:val="center"/>
            <w:hideMark/>
          </w:tcPr>
          <w:p w14:paraId="11400243"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r w:rsidRPr="00F7314C">
              <w:rPr>
                <w:rFonts w:ascii="Arial" w:eastAsia="Times New Roman" w:hAnsi="Arial" w:cs="Arial"/>
                <w:bCs/>
                <w:sz w:val="16"/>
                <w:szCs w:val="16"/>
                <w:lang w:val="es-CO" w:eastAsia="es-CO"/>
              </w:rPr>
              <w:t>IRCA</w:t>
            </w:r>
          </w:p>
        </w:tc>
        <w:tc>
          <w:tcPr>
            <w:tcW w:w="345" w:type="pct"/>
            <w:shd w:val="clear" w:color="auto" w:fill="auto"/>
            <w:noWrap/>
            <w:vAlign w:val="center"/>
            <w:hideMark/>
          </w:tcPr>
          <w:p w14:paraId="5FA3750B"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r w:rsidRPr="00F7314C">
              <w:rPr>
                <w:rFonts w:ascii="Arial" w:eastAsia="Times New Roman" w:hAnsi="Arial" w:cs="Arial"/>
                <w:bCs/>
                <w:sz w:val="16"/>
                <w:szCs w:val="16"/>
                <w:lang w:val="es-CO" w:eastAsia="es-CO"/>
              </w:rPr>
              <w:t>&lt; 5%</w:t>
            </w:r>
          </w:p>
        </w:tc>
        <w:tc>
          <w:tcPr>
            <w:tcW w:w="1104" w:type="pct"/>
            <w:shd w:val="clear" w:color="auto" w:fill="auto"/>
            <w:vAlign w:val="center"/>
          </w:tcPr>
          <w:p w14:paraId="1CCE0363"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r w:rsidRPr="00F7314C">
              <w:rPr>
                <w:rFonts w:ascii="Arial" w:eastAsia="Times New Roman" w:hAnsi="Arial" w:cs="Arial"/>
                <w:bCs/>
                <w:sz w:val="16"/>
                <w:szCs w:val="16"/>
                <w:lang w:val="es-CO" w:eastAsia="es-CO"/>
              </w:rPr>
              <w:t>(%) Porcentaje</w:t>
            </w:r>
          </w:p>
        </w:tc>
        <w:tc>
          <w:tcPr>
            <w:tcW w:w="2793" w:type="pct"/>
            <w:shd w:val="clear" w:color="auto" w:fill="auto"/>
            <w:vAlign w:val="center"/>
          </w:tcPr>
          <w:p w14:paraId="26649F05"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r w:rsidRPr="00F7314C">
              <w:rPr>
                <w:rFonts w:ascii="Arial" w:eastAsia="Times New Roman" w:hAnsi="Arial" w:cs="Arial"/>
                <w:bCs/>
                <w:sz w:val="16"/>
                <w:szCs w:val="16"/>
                <w:lang w:val="es-CO" w:eastAsia="es-CO"/>
              </w:rPr>
              <w:t>Registro IRCA - Instituto Nacional de Salud (INS)</w:t>
            </w:r>
          </w:p>
        </w:tc>
      </w:tr>
      <w:tr w:rsidR="00714712" w:rsidRPr="00FF7E3D" w14:paraId="60E5C653" w14:textId="77777777" w:rsidTr="00714712">
        <w:trPr>
          <w:trHeight w:val="302"/>
        </w:trPr>
        <w:tc>
          <w:tcPr>
            <w:tcW w:w="758" w:type="pct"/>
            <w:shd w:val="clear" w:color="auto" w:fill="DEEAF6"/>
            <w:noWrap/>
            <w:vAlign w:val="center"/>
            <w:hideMark/>
          </w:tcPr>
          <w:p w14:paraId="7F5F16AC"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r w:rsidRPr="00F7314C">
              <w:rPr>
                <w:rFonts w:ascii="Arial" w:eastAsia="Times New Roman" w:hAnsi="Arial" w:cs="Arial"/>
                <w:bCs/>
                <w:sz w:val="16"/>
                <w:szCs w:val="16"/>
                <w:lang w:val="es-CO" w:eastAsia="es-CO"/>
              </w:rPr>
              <w:t>Micromedición Efectiva</w:t>
            </w:r>
          </w:p>
        </w:tc>
        <w:tc>
          <w:tcPr>
            <w:tcW w:w="345" w:type="pct"/>
            <w:shd w:val="clear" w:color="auto" w:fill="DEEAF6"/>
            <w:noWrap/>
            <w:vAlign w:val="center"/>
            <w:hideMark/>
          </w:tcPr>
          <w:p w14:paraId="7DF5B21A"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r w:rsidRPr="00F7314C">
              <w:rPr>
                <w:rFonts w:ascii="Arial" w:eastAsia="Times New Roman" w:hAnsi="Arial" w:cs="Arial"/>
                <w:bCs/>
                <w:sz w:val="16"/>
                <w:szCs w:val="16"/>
                <w:lang w:val="es-CO" w:eastAsia="es-CO"/>
              </w:rPr>
              <w:t>&gt; 80%</w:t>
            </w:r>
          </w:p>
        </w:tc>
        <w:tc>
          <w:tcPr>
            <w:tcW w:w="1104" w:type="pct"/>
            <w:shd w:val="clear" w:color="auto" w:fill="DEEAF6"/>
            <w:vAlign w:val="center"/>
          </w:tcPr>
          <w:p w14:paraId="55BE85C2" w14:textId="77777777" w:rsidR="00714712" w:rsidRPr="00F7314C" w:rsidRDefault="00714712" w:rsidP="00714712">
            <w:pPr>
              <w:suppressAutoHyphens w:val="0"/>
              <w:spacing w:after="0" w:line="240" w:lineRule="auto"/>
              <w:jc w:val="both"/>
              <w:rPr>
                <w:rFonts w:ascii="Arial" w:eastAsia="Times New Roman" w:hAnsi="Arial" w:cs="Arial"/>
                <w:bCs/>
                <w:sz w:val="16"/>
                <w:szCs w:val="16"/>
                <w:lang w:val="es-CO" w:eastAsia="es-CO"/>
              </w:rPr>
            </w:pPr>
            <w:r w:rsidRPr="00F7314C">
              <w:rPr>
                <w:rFonts w:ascii="Arial" w:eastAsia="Times New Roman" w:hAnsi="Arial" w:cs="Arial"/>
                <w:bCs/>
                <w:sz w:val="16"/>
                <w:szCs w:val="16"/>
                <w:lang w:val="es-CO" w:eastAsia="es-CO"/>
              </w:rPr>
              <w:t>Artículo 2.3.7 Formato facturación acueducto del Anexo de la Resolución No. SSPD 2010300048765 de 14 de diciembre de 2010</w:t>
            </w:r>
          </w:p>
        </w:tc>
        <w:tc>
          <w:tcPr>
            <w:tcW w:w="2793" w:type="pct"/>
            <w:shd w:val="clear" w:color="auto" w:fill="DEEAF6"/>
            <w:vAlign w:val="center"/>
          </w:tcPr>
          <w:p w14:paraId="091E3620" w14:textId="77777777" w:rsidR="00714712" w:rsidRPr="00F7314C" w:rsidRDefault="00714712" w:rsidP="00714712">
            <w:pPr>
              <w:pStyle w:val="BodyText21"/>
              <w:widowControl/>
              <w:tabs>
                <w:tab w:val="left" w:pos="284"/>
              </w:tabs>
              <w:jc w:val="center"/>
              <w:rPr>
                <w:rFonts w:cs="Arial"/>
                <w:sz w:val="16"/>
                <w:szCs w:val="16"/>
              </w:rPr>
            </w:pPr>
          </w:p>
          <w:p w14:paraId="670F2A83" w14:textId="77777777" w:rsidR="00714712" w:rsidRPr="006838BB" w:rsidRDefault="006838BB" w:rsidP="00714712">
            <w:pPr>
              <w:suppressAutoHyphens w:val="0"/>
              <w:spacing w:after="0" w:line="240" w:lineRule="auto"/>
              <w:jc w:val="center"/>
              <w:rPr>
                <w:rFonts w:ascii="Arial" w:hAnsi="Arial" w:cs="Arial"/>
                <w:sz w:val="16"/>
                <w:szCs w:val="16"/>
              </w:rPr>
            </w:pPr>
            <m:oMathPara>
              <m:oMathParaPr>
                <m:jc m:val="centerGroup"/>
              </m:oMathParaPr>
              <m:oMath>
                <m:r>
                  <w:rPr>
                    <w:rFonts w:ascii="Cambria Math" w:eastAsia="Times New Roman" w:hAnsi="Cambria Math" w:cs="Arial"/>
                    <w:sz w:val="16"/>
                    <w:szCs w:val="16"/>
                    <w:lang w:val="es-CO" w:eastAsia="es-CO"/>
                  </w:rPr>
                  <m:t>Micromedición efectiva </m:t>
                </m:r>
                <m:d>
                  <m:dPr>
                    <m:ctrlPr>
                      <w:rPr>
                        <w:rFonts w:ascii="Cambria Math" w:eastAsia="Times New Roman" w:hAnsi="Cambria Math" w:cs="Arial"/>
                        <w:bCs/>
                        <w:i/>
                        <w:iCs/>
                        <w:sz w:val="16"/>
                        <w:szCs w:val="16"/>
                        <w:lang w:val="es-CO" w:eastAsia="es-CO"/>
                      </w:rPr>
                    </m:ctrlPr>
                  </m:dPr>
                  <m:e>
                    <m:r>
                      <w:rPr>
                        <w:rFonts w:ascii="Cambria Math" w:eastAsia="Times New Roman" w:hAnsi="Cambria Math" w:cs="Arial"/>
                        <w:sz w:val="16"/>
                        <w:szCs w:val="16"/>
                        <w:lang w:val="es-CO" w:eastAsia="es-CO"/>
                      </w:rPr>
                      <m:t>%</m:t>
                    </m:r>
                  </m:e>
                </m:d>
                <m:r>
                  <w:rPr>
                    <w:rFonts w:ascii="Cambria Math" w:eastAsia="Times New Roman" w:hAnsi="Cambria Math" w:cs="Arial"/>
                    <w:sz w:val="16"/>
                    <w:szCs w:val="16"/>
                    <w:lang w:val="es-CO" w:eastAsia="es-CO"/>
                  </w:rPr>
                  <m:t>=</m:t>
                </m:r>
              </m:oMath>
            </m:oMathPara>
          </w:p>
          <w:p w14:paraId="4BDEC8F8"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p>
          <w:p w14:paraId="3CD0A2B8" w14:textId="77777777" w:rsidR="00714712" w:rsidRPr="006838BB" w:rsidRDefault="00122B06" w:rsidP="00714712">
            <w:pPr>
              <w:suppressAutoHyphens w:val="0"/>
              <w:spacing w:after="0" w:line="240" w:lineRule="auto"/>
              <w:jc w:val="center"/>
              <w:rPr>
                <w:rFonts w:ascii="Arial" w:eastAsia="Times New Roman" w:hAnsi="Arial" w:cs="Arial"/>
                <w:bCs/>
                <w:sz w:val="16"/>
                <w:szCs w:val="16"/>
                <w:lang w:val="es-CO" w:eastAsia="es-CO"/>
              </w:rPr>
            </w:pPr>
            <m:oMathPara>
              <m:oMathParaPr>
                <m:jc m:val="centerGroup"/>
              </m:oMathParaPr>
              <m:oMath>
                <m:f>
                  <m:fPr>
                    <m:ctrlPr>
                      <w:rPr>
                        <w:rFonts w:ascii="Cambria Math" w:eastAsia="Times New Roman" w:hAnsi="Cambria Math" w:cs="Arial"/>
                        <w:bCs/>
                        <w:i/>
                        <w:iCs/>
                        <w:sz w:val="16"/>
                        <w:szCs w:val="16"/>
                        <w:lang w:val="es-CO" w:eastAsia="es-CO"/>
                      </w:rPr>
                    </m:ctrlPr>
                  </m:fPr>
                  <m:num>
                    <m:r>
                      <w:rPr>
                        <w:rFonts w:ascii="Cambria Math" w:eastAsia="Times New Roman" w:hAnsi="Cambria Math" w:cs="Arial"/>
                        <w:sz w:val="16"/>
                        <w:szCs w:val="16"/>
                        <w:lang w:val="es-CO" w:eastAsia="es-CO"/>
                      </w:rPr>
                      <m:t>Promedio mensual de suscriptores con medidor en buen estado </m:t>
                    </m:r>
                  </m:num>
                  <m:den>
                    <m:r>
                      <w:rPr>
                        <w:rFonts w:ascii="Cambria Math" w:eastAsia="Times New Roman" w:hAnsi="Cambria Math" w:cs="Arial"/>
                        <w:sz w:val="16"/>
                        <w:szCs w:val="16"/>
                        <w:lang w:val="es-CO" w:eastAsia="es-CO"/>
                      </w:rPr>
                      <m:t>Promedio mensual de suscriptores totales de acueducto </m:t>
                    </m:r>
                  </m:den>
                </m:f>
                <m:r>
                  <w:rPr>
                    <w:rFonts w:ascii="Cambria Math" w:eastAsia="Times New Roman" w:hAnsi="Cambria Math" w:cs="Arial"/>
                    <w:sz w:val="16"/>
                    <w:szCs w:val="16"/>
                    <w:lang w:val="es-CO" w:eastAsia="es-CO"/>
                  </w:rPr>
                  <m:t> *100%</m:t>
                </m:r>
              </m:oMath>
            </m:oMathPara>
          </w:p>
          <w:p w14:paraId="2AFF3168"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p>
          <w:p w14:paraId="1B171DFA" w14:textId="77777777" w:rsidR="00714712" w:rsidRPr="00F7314C" w:rsidRDefault="00714712" w:rsidP="00714712">
            <w:pPr>
              <w:suppressAutoHyphens w:val="0"/>
              <w:spacing w:after="0" w:line="240" w:lineRule="auto"/>
              <w:jc w:val="center"/>
              <w:rPr>
                <w:rFonts w:ascii="Arial" w:eastAsia="Times New Roman" w:hAnsi="Arial" w:cs="Arial"/>
                <w:bCs/>
                <w:sz w:val="16"/>
                <w:szCs w:val="16"/>
                <w:lang w:val="es-CO" w:eastAsia="es-CO"/>
              </w:rPr>
            </w:pPr>
          </w:p>
        </w:tc>
      </w:tr>
    </w:tbl>
    <w:p w14:paraId="69F65B6E" w14:textId="77777777" w:rsidR="00714712" w:rsidRDefault="00714712" w:rsidP="00D37932">
      <w:pPr>
        <w:spacing w:after="0" w:line="240" w:lineRule="auto"/>
        <w:rPr>
          <w:lang w:val="es-CO" w:eastAsia="es-CO"/>
        </w:rPr>
      </w:pPr>
    </w:p>
    <w:p w14:paraId="2B1E7FC7" w14:textId="0FE10CF2" w:rsidR="005B72E8" w:rsidRPr="00F7314C" w:rsidRDefault="005B72E8" w:rsidP="005B72E8">
      <w:pPr>
        <w:spacing w:after="0" w:line="240" w:lineRule="auto"/>
        <w:jc w:val="both"/>
        <w:rPr>
          <w:rFonts w:ascii="Arial" w:hAnsi="Arial" w:cs="Arial"/>
          <w:sz w:val="20"/>
          <w:szCs w:val="20"/>
          <w:lang w:val="es-MX"/>
        </w:rPr>
      </w:pPr>
      <w:r w:rsidRPr="00F7314C">
        <w:rPr>
          <w:rFonts w:ascii="Arial" w:hAnsi="Arial" w:cs="Arial"/>
          <w:sz w:val="20"/>
          <w:szCs w:val="20"/>
          <w:lang w:val="es-MX"/>
        </w:rPr>
        <w:t xml:space="preserve">En la tabla </w:t>
      </w:r>
      <w:r w:rsidR="00714712">
        <w:rPr>
          <w:rFonts w:ascii="Arial" w:hAnsi="Arial" w:cs="Arial"/>
          <w:sz w:val="20"/>
          <w:szCs w:val="20"/>
          <w:lang w:val="es-MX"/>
        </w:rPr>
        <w:t>4</w:t>
      </w:r>
      <w:r w:rsidRPr="00F7314C">
        <w:rPr>
          <w:rFonts w:ascii="Arial" w:hAnsi="Arial" w:cs="Arial"/>
          <w:sz w:val="20"/>
          <w:szCs w:val="20"/>
          <w:lang w:val="es-MX"/>
        </w:rPr>
        <w:t>, se realiza una descripción de las variables administrativas que hacen parte del modelo para el cálculo del puntaje DEA, donde se incluye el tipo de va</w:t>
      </w:r>
      <w:r w:rsidR="00EF6CEE">
        <w:rPr>
          <w:rFonts w:ascii="Arial" w:hAnsi="Arial" w:cs="Arial"/>
          <w:sz w:val="20"/>
          <w:szCs w:val="20"/>
          <w:lang w:val="es-MX"/>
        </w:rPr>
        <w:t>riable, la unidad en la que está</w:t>
      </w:r>
      <w:r w:rsidRPr="00F7314C">
        <w:rPr>
          <w:rFonts w:ascii="Arial" w:hAnsi="Arial" w:cs="Arial"/>
          <w:sz w:val="20"/>
          <w:szCs w:val="20"/>
          <w:lang w:val="es-MX"/>
        </w:rPr>
        <w:t xml:space="preserve"> expresada y la fórmula de cálculo de cada una de las variables: </w:t>
      </w:r>
    </w:p>
    <w:p w14:paraId="4C18AF96" w14:textId="77777777" w:rsidR="0080660A" w:rsidRPr="00F7314C" w:rsidRDefault="0080660A" w:rsidP="00420B14">
      <w:pPr>
        <w:spacing w:after="0" w:line="240" w:lineRule="auto"/>
        <w:jc w:val="both"/>
        <w:rPr>
          <w:rFonts w:ascii="Arial" w:hAnsi="Arial" w:cs="Arial"/>
          <w:sz w:val="20"/>
          <w:szCs w:val="20"/>
          <w:lang w:val="es-MX"/>
        </w:rPr>
      </w:pPr>
    </w:p>
    <w:p w14:paraId="6A14F378" w14:textId="26E7DC72" w:rsidR="005B72E8" w:rsidRPr="0080660A" w:rsidRDefault="00D37932" w:rsidP="00420B14">
      <w:pPr>
        <w:pStyle w:val="Descripcin"/>
        <w:spacing w:after="0" w:line="240" w:lineRule="auto"/>
        <w:jc w:val="center"/>
        <w:rPr>
          <w:rFonts w:ascii="Arial" w:hAnsi="Arial" w:cs="Arial"/>
          <w:lang w:val="es-MX"/>
        </w:rPr>
      </w:pPr>
      <w:bookmarkStart w:id="17" w:name="_Toc492664382"/>
      <w:bookmarkStart w:id="18" w:name="_Toc506988567"/>
      <w:r w:rsidRPr="0080660A">
        <w:rPr>
          <w:rFonts w:ascii="Arial" w:hAnsi="Arial" w:cs="Arial"/>
        </w:rPr>
        <w:t xml:space="preserve">Tabla </w:t>
      </w:r>
      <w:r w:rsidRPr="0080660A">
        <w:rPr>
          <w:rFonts w:ascii="Arial" w:hAnsi="Arial" w:cs="Arial"/>
        </w:rPr>
        <w:fldChar w:fldCharType="begin"/>
      </w:r>
      <w:r w:rsidRPr="0080660A">
        <w:rPr>
          <w:rFonts w:ascii="Arial" w:hAnsi="Arial" w:cs="Arial"/>
        </w:rPr>
        <w:instrText xml:space="preserve"> SEQ Tabla \* ARABIC </w:instrText>
      </w:r>
      <w:r w:rsidRPr="0080660A">
        <w:rPr>
          <w:rFonts w:ascii="Arial" w:hAnsi="Arial" w:cs="Arial"/>
        </w:rPr>
        <w:fldChar w:fldCharType="separate"/>
      </w:r>
      <w:r w:rsidR="004C0CEB">
        <w:rPr>
          <w:rFonts w:ascii="Arial" w:hAnsi="Arial" w:cs="Arial"/>
          <w:noProof/>
        </w:rPr>
        <w:t>4</w:t>
      </w:r>
      <w:r w:rsidRPr="0080660A">
        <w:rPr>
          <w:rFonts w:ascii="Arial" w:hAnsi="Arial" w:cs="Arial"/>
        </w:rPr>
        <w:fldChar w:fldCharType="end"/>
      </w:r>
      <w:r w:rsidRPr="0080660A">
        <w:rPr>
          <w:rFonts w:ascii="Arial" w:hAnsi="Arial" w:cs="Arial"/>
        </w:rPr>
        <w:t xml:space="preserve">. </w:t>
      </w:r>
      <w:r w:rsidR="005B72E8" w:rsidRPr="0080660A">
        <w:rPr>
          <w:rFonts w:ascii="Arial" w:hAnsi="Arial" w:cs="Arial"/>
        </w:rPr>
        <w:t>Variables administrativas</w:t>
      </w:r>
      <w:bookmarkEnd w:id="17"/>
      <w:bookmarkEnd w:id="18"/>
    </w:p>
    <w:tbl>
      <w:tblPr>
        <w:tblW w:w="10343"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555"/>
        <w:gridCol w:w="1134"/>
        <w:gridCol w:w="1159"/>
        <w:gridCol w:w="6495"/>
      </w:tblGrid>
      <w:tr w:rsidR="005B72E8" w:rsidRPr="00FF7E3D" w14:paraId="0E14E19E" w14:textId="77777777" w:rsidTr="005B72E8">
        <w:trPr>
          <w:trHeight w:val="409"/>
          <w:tblHeader/>
          <w:jc w:val="center"/>
        </w:trPr>
        <w:tc>
          <w:tcPr>
            <w:tcW w:w="1555" w:type="dxa"/>
            <w:tcBorders>
              <w:bottom w:val="single" w:sz="12" w:space="0" w:color="9CC2E5"/>
            </w:tcBorders>
            <w:shd w:val="clear" w:color="auto" w:fill="auto"/>
            <w:noWrap/>
            <w:vAlign w:val="center"/>
            <w:hideMark/>
          </w:tcPr>
          <w:p w14:paraId="40CD249A" w14:textId="77777777" w:rsidR="005B72E8" w:rsidRPr="00F7314C" w:rsidRDefault="005B72E8"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Variable</w:t>
            </w:r>
          </w:p>
        </w:tc>
        <w:tc>
          <w:tcPr>
            <w:tcW w:w="1134" w:type="dxa"/>
            <w:tcBorders>
              <w:bottom w:val="single" w:sz="12" w:space="0" w:color="9CC2E5"/>
            </w:tcBorders>
            <w:shd w:val="clear" w:color="auto" w:fill="auto"/>
            <w:noWrap/>
            <w:vAlign w:val="center"/>
            <w:hideMark/>
          </w:tcPr>
          <w:p w14:paraId="1901F1E7" w14:textId="77777777" w:rsidR="005B72E8" w:rsidRPr="00F7314C" w:rsidRDefault="005B72E8"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Tipo</w:t>
            </w:r>
          </w:p>
        </w:tc>
        <w:tc>
          <w:tcPr>
            <w:tcW w:w="1159" w:type="dxa"/>
            <w:tcBorders>
              <w:bottom w:val="single" w:sz="12" w:space="0" w:color="9CC2E5"/>
            </w:tcBorders>
            <w:shd w:val="clear" w:color="auto" w:fill="auto"/>
            <w:vAlign w:val="center"/>
          </w:tcPr>
          <w:p w14:paraId="7AA9E91B" w14:textId="77777777" w:rsidR="005B72E8" w:rsidRPr="00F7314C" w:rsidRDefault="005B72E8"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Unidad</w:t>
            </w:r>
          </w:p>
        </w:tc>
        <w:tc>
          <w:tcPr>
            <w:tcW w:w="6495" w:type="dxa"/>
            <w:tcBorders>
              <w:bottom w:val="single" w:sz="12" w:space="0" w:color="9CC2E5"/>
            </w:tcBorders>
            <w:shd w:val="clear" w:color="auto" w:fill="auto"/>
            <w:vAlign w:val="center"/>
          </w:tcPr>
          <w:p w14:paraId="6360A7DE" w14:textId="77777777" w:rsidR="005B72E8" w:rsidRPr="00F7314C" w:rsidRDefault="005B72E8"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Fórmula</w:t>
            </w:r>
          </w:p>
        </w:tc>
      </w:tr>
      <w:tr w:rsidR="005B72E8" w:rsidRPr="00FF7E3D" w14:paraId="6B2871AD" w14:textId="77777777" w:rsidTr="005B72E8">
        <w:trPr>
          <w:trHeight w:val="409"/>
          <w:jc w:val="center"/>
        </w:trPr>
        <w:tc>
          <w:tcPr>
            <w:tcW w:w="1555" w:type="dxa"/>
            <w:shd w:val="clear" w:color="auto" w:fill="DEEAF6"/>
            <w:noWrap/>
            <w:vAlign w:val="center"/>
            <w:hideMark/>
          </w:tcPr>
          <w:p w14:paraId="52202870" w14:textId="77777777" w:rsidR="005B72E8" w:rsidRPr="00F7314C" w:rsidRDefault="005B72E8"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Costos administrativos</w:t>
            </w:r>
          </w:p>
        </w:tc>
        <w:tc>
          <w:tcPr>
            <w:tcW w:w="1134" w:type="dxa"/>
            <w:shd w:val="clear" w:color="auto" w:fill="DEEAF6"/>
            <w:noWrap/>
            <w:vAlign w:val="center"/>
            <w:hideMark/>
          </w:tcPr>
          <w:p w14:paraId="36BC39D0"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Insumo Controlable</w:t>
            </w:r>
          </w:p>
        </w:tc>
        <w:tc>
          <w:tcPr>
            <w:tcW w:w="1159" w:type="dxa"/>
            <w:shd w:val="clear" w:color="auto" w:fill="DEEAF6"/>
            <w:vAlign w:val="center"/>
          </w:tcPr>
          <w:p w14:paraId="6E02B454"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hAnsi="Arial" w:cs="Arial"/>
                <w:sz w:val="16"/>
                <w:szCs w:val="16"/>
              </w:rPr>
              <w:t>Pesos de diciembre del año base (2014)</w:t>
            </w:r>
          </w:p>
        </w:tc>
        <w:tc>
          <w:tcPr>
            <w:tcW w:w="6495" w:type="dxa"/>
            <w:shd w:val="clear" w:color="auto" w:fill="DEEAF6"/>
            <w:vAlign w:val="center"/>
          </w:tcPr>
          <w:p w14:paraId="78CCFD90" w14:textId="77777777" w:rsidR="005B72E8" w:rsidRPr="00F7314C" w:rsidRDefault="005B72E8" w:rsidP="00420B14">
            <w:pPr>
              <w:suppressAutoHyphens w:val="0"/>
              <w:spacing w:after="0" w:line="240" w:lineRule="auto"/>
              <w:jc w:val="center"/>
              <w:rPr>
                <w:rFonts w:ascii="Arial" w:hAnsi="Arial" w:cs="Arial"/>
                <w:sz w:val="16"/>
                <w:szCs w:val="16"/>
              </w:rPr>
            </w:pPr>
            <w:r w:rsidRPr="00F7314C">
              <w:rPr>
                <w:rFonts w:ascii="Arial" w:hAnsi="Arial" w:cs="Arial"/>
                <w:sz w:val="16"/>
                <w:szCs w:val="16"/>
                <w:lang w:val="es-ES_tradnl"/>
              </w:rPr>
              <w:t>Registro contable de la empresa.</w:t>
            </w:r>
          </w:p>
        </w:tc>
      </w:tr>
      <w:tr w:rsidR="005B72E8" w:rsidRPr="00FF7E3D" w14:paraId="581E8D54" w14:textId="77777777" w:rsidTr="005B72E8">
        <w:trPr>
          <w:trHeight w:val="409"/>
          <w:jc w:val="center"/>
        </w:trPr>
        <w:tc>
          <w:tcPr>
            <w:tcW w:w="1555" w:type="dxa"/>
            <w:shd w:val="clear" w:color="auto" w:fill="auto"/>
            <w:noWrap/>
            <w:vAlign w:val="center"/>
            <w:hideMark/>
          </w:tcPr>
          <w:p w14:paraId="099DD723" w14:textId="77777777" w:rsidR="005B72E8" w:rsidRPr="00F7314C" w:rsidRDefault="005B72E8"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Número de suscriptores de acueducto</w:t>
            </w:r>
          </w:p>
        </w:tc>
        <w:tc>
          <w:tcPr>
            <w:tcW w:w="1134" w:type="dxa"/>
            <w:shd w:val="clear" w:color="auto" w:fill="auto"/>
            <w:noWrap/>
            <w:vAlign w:val="center"/>
            <w:hideMark/>
          </w:tcPr>
          <w:p w14:paraId="075312BD"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Producto</w:t>
            </w:r>
          </w:p>
        </w:tc>
        <w:tc>
          <w:tcPr>
            <w:tcW w:w="1159" w:type="dxa"/>
            <w:shd w:val="clear" w:color="auto" w:fill="auto"/>
            <w:vAlign w:val="center"/>
          </w:tcPr>
          <w:p w14:paraId="190298E8"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Número de suscriptores</w:t>
            </w:r>
          </w:p>
        </w:tc>
        <w:bookmarkStart w:id="19" w:name="_MON_1560251338"/>
        <w:bookmarkEnd w:id="19"/>
        <w:tc>
          <w:tcPr>
            <w:tcW w:w="6495" w:type="dxa"/>
            <w:vMerge w:val="restart"/>
            <w:shd w:val="clear" w:color="auto" w:fill="auto"/>
            <w:vAlign w:val="center"/>
          </w:tcPr>
          <w:p w14:paraId="13B0B142" w14:textId="77777777" w:rsidR="005B72E8" w:rsidRPr="00F7314C" w:rsidRDefault="005B72E8" w:rsidP="00420B14">
            <w:pPr>
              <w:pStyle w:val="Prrafodelista"/>
              <w:tabs>
                <w:tab w:val="left" w:pos="284"/>
              </w:tabs>
              <w:spacing w:after="0" w:line="240" w:lineRule="auto"/>
              <w:ind w:left="0"/>
              <w:jc w:val="center"/>
              <w:rPr>
                <w:rFonts w:ascii="Arial" w:hAnsi="Arial" w:cs="Arial"/>
                <w:sz w:val="16"/>
                <w:szCs w:val="16"/>
                <w:lang w:val="es-ES_tradnl"/>
              </w:rPr>
            </w:pPr>
            <w:r w:rsidRPr="00F7314C">
              <w:rPr>
                <w:rFonts w:ascii="Arial" w:hAnsi="Arial" w:cs="Arial"/>
                <w:sz w:val="16"/>
                <w:szCs w:val="16"/>
                <w:lang w:val="es-ES_tradnl"/>
              </w:rPr>
              <w:object w:dxaOrig="6177" w:dyaOrig="598" w14:anchorId="58173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9.25pt" o:ole="">
                  <v:imagedata r:id="rId10" o:title=""/>
                </v:shape>
                <o:OLEObject Type="Embed" ProgID="Word.Document.12" ShapeID="_x0000_i1025" DrawAspect="Content" ObjectID="_1592636843" r:id="rId11">
                  <o:FieldCodes>\s</o:FieldCodes>
                </o:OLEObject>
              </w:object>
            </w:r>
          </w:p>
          <w:p w14:paraId="7C8CF48F" w14:textId="77777777" w:rsidR="005B72E8" w:rsidRPr="00F7314C" w:rsidRDefault="005B72E8" w:rsidP="00420B14">
            <w:pPr>
              <w:pStyle w:val="Prrafodelista"/>
              <w:tabs>
                <w:tab w:val="left" w:pos="284"/>
              </w:tabs>
              <w:spacing w:after="0" w:line="240" w:lineRule="auto"/>
              <w:ind w:left="0"/>
              <w:jc w:val="center"/>
              <w:rPr>
                <w:rFonts w:ascii="Arial" w:hAnsi="Arial" w:cs="Arial"/>
                <w:sz w:val="16"/>
                <w:szCs w:val="16"/>
                <w:lang w:val="es-ES_tradnl"/>
              </w:rPr>
            </w:pPr>
            <w:r w:rsidRPr="00F7314C">
              <w:rPr>
                <w:rFonts w:ascii="Arial" w:hAnsi="Arial" w:cs="Arial"/>
                <w:i/>
                <w:sz w:val="16"/>
                <w:szCs w:val="16"/>
                <w:lang w:val="es-ES_tradnl"/>
              </w:rPr>
              <w:t>donde año j</w:t>
            </w:r>
            <w:r w:rsidRPr="00F7314C">
              <w:rPr>
                <w:rFonts w:ascii="Arial" w:hAnsi="Arial" w:cs="Arial"/>
                <w:sz w:val="16"/>
                <w:szCs w:val="16"/>
                <w:lang w:val="es-ES_tradnl"/>
              </w:rPr>
              <w:t>= 2013 y 2014</w:t>
            </w:r>
          </w:p>
          <w:p w14:paraId="468F0C02" w14:textId="77777777" w:rsidR="005B72E8" w:rsidRPr="00F7314C" w:rsidRDefault="005B72E8" w:rsidP="00420B14">
            <w:pPr>
              <w:spacing w:after="0" w:line="240" w:lineRule="auto"/>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 xml:space="preserve">Luego, </w:t>
            </w:r>
          </w:p>
          <w:p w14:paraId="78CC7E84" w14:textId="77777777" w:rsidR="005B72E8" w:rsidRPr="00F7314C" w:rsidRDefault="005B72E8" w:rsidP="00420B14">
            <w:pPr>
              <w:spacing w:after="0" w:line="240" w:lineRule="auto"/>
              <w:ind w:left="708"/>
              <w:rPr>
                <w:rFonts w:ascii="Arial" w:eastAsia="Times New Roman" w:hAnsi="Arial" w:cs="Arial"/>
                <w:i/>
                <w:sz w:val="16"/>
                <w:szCs w:val="16"/>
                <w:lang w:val="es-CO" w:eastAsia="es-CO"/>
              </w:rPr>
            </w:pPr>
            <w:r w:rsidRPr="00F7314C">
              <w:rPr>
                <w:rFonts w:ascii="Arial" w:eastAsia="Times New Roman" w:hAnsi="Arial" w:cs="Arial"/>
                <w:i/>
                <w:sz w:val="16"/>
                <w:szCs w:val="16"/>
                <w:lang w:val="es-CO" w:eastAsia="es-CO"/>
              </w:rPr>
              <w:t xml:space="preserve">Promedio (Suscriptores </w:t>
            </w:r>
            <w:r w:rsidRPr="00F7314C">
              <w:rPr>
                <w:rFonts w:ascii="Arial" w:eastAsia="Times New Roman" w:hAnsi="Arial" w:cs="Arial"/>
                <w:i/>
                <w:sz w:val="16"/>
                <w:szCs w:val="16"/>
                <w:vertAlign w:val="subscript"/>
                <w:lang w:val="es-CO" w:eastAsia="es-CO"/>
              </w:rPr>
              <w:t>ac/al</w:t>
            </w:r>
            <w:r w:rsidRPr="00F7314C">
              <w:rPr>
                <w:rFonts w:ascii="Arial" w:eastAsia="Times New Roman" w:hAnsi="Arial" w:cs="Arial"/>
                <w:i/>
                <w:sz w:val="16"/>
                <w:szCs w:val="16"/>
                <w:lang w:val="es-CO" w:eastAsia="es-CO"/>
              </w:rPr>
              <w:t xml:space="preserve"> </w:t>
            </w:r>
            <w:r w:rsidRPr="00F7314C">
              <w:rPr>
                <w:rFonts w:ascii="Arial" w:eastAsia="Times New Roman" w:hAnsi="Arial" w:cs="Arial"/>
                <w:i/>
                <w:sz w:val="16"/>
                <w:szCs w:val="16"/>
                <w:vertAlign w:val="subscript"/>
                <w:lang w:val="es-CO" w:eastAsia="es-CO"/>
              </w:rPr>
              <w:t>2013</w:t>
            </w:r>
            <w:r w:rsidRPr="00F7314C">
              <w:rPr>
                <w:rFonts w:ascii="Arial" w:eastAsia="Times New Roman" w:hAnsi="Arial" w:cs="Arial"/>
                <w:i/>
                <w:sz w:val="16"/>
                <w:szCs w:val="16"/>
                <w:lang w:val="es-CO" w:eastAsia="es-CO"/>
              </w:rPr>
              <w:t xml:space="preserve">, Suscriptores </w:t>
            </w:r>
            <w:r w:rsidRPr="00F7314C">
              <w:rPr>
                <w:rFonts w:ascii="Arial" w:eastAsia="Times New Roman" w:hAnsi="Arial" w:cs="Arial"/>
                <w:i/>
                <w:sz w:val="16"/>
                <w:szCs w:val="16"/>
                <w:vertAlign w:val="subscript"/>
                <w:lang w:val="es-CO" w:eastAsia="es-CO"/>
              </w:rPr>
              <w:t>ac/al</w:t>
            </w:r>
            <w:r w:rsidRPr="00F7314C">
              <w:rPr>
                <w:rFonts w:ascii="Arial" w:eastAsia="Times New Roman" w:hAnsi="Arial" w:cs="Arial"/>
                <w:i/>
                <w:sz w:val="16"/>
                <w:szCs w:val="16"/>
                <w:lang w:val="es-CO" w:eastAsia="es-CO"/>
              </w:rPr>
              <w:t xml:space="preserve"> </w:t>
            </w:r>
            <w:r w:rsidRPr="00F7314C">
              <w:rPr>
                <w:rFonts w:ascii="Arial" w:eastAsia="Times New Roman" w:hAnsi="Arial" w:cs="Arial"/>
                <w:i/>
                <w:sz w:val="16"/>
                <w:szCs w:val="16"/>
                <w:vertAlign w:val="subscript"/>
                <w:lang w:val="es-CO" w:eastAsia="es-CO"/>
              </w:rPr>
              <w:t>2014</w:t>
            </w:r>
            <w:r w:rsidRPr="00F7314C">
              <w:rPr>
                <w:rFonts w:ascii="Arial" w:eastAsia="Times New Roman" w:hAnsi="Arial" w:cs="Arial"/>
                <w:i/>
                <w:sz w:val="16"/>
                <w:szCs w:val="16"/>
                <w:lang w:val="es-CO" w:eastAsia="es-CO"/>
              </w:rPr>
              <w:t>)</w:t>
            </w:r>
          </w:p>
        </w:tc>
      </w:tr>
      <w:tr w:rsidR="005B72E8" w:rsidRPr="00FF7E3D" w14:paraId="0CD61012" w14:textId="77777777" w:rsidTr="005B72E8">
        <w:trPr>
          <w:trHeight w:val="785"/>
          <w:jc w:val="center"/>
        </w:trPr>
        <w:tc>
          <w:tcPr>
            <w:tcW w:w="1555" w:type="dxa"/>
            <w:shd w:val="clear" w:color="auto" w:fill="DEEAF6"/>
            <w:noWrap/>
            <w:vAlign w:val="center"/>
            <w:hideMark/>
          </w:tcPr>
          <w:p w14:paraId="2720C7A1" w14:textId="77777777" w:rsidR="005B72E8" w:rsidRPr="00F7314C" w:rsidRDefault="005B72E8"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Número de suscriptores de alcantarillado</w:t>
            </w:r>
          </w:p>
        </w:tc>
        <w:tc>
          <w:tcPr>
            <w:tcW w:w="1134" w:type="dxa"/>
            <w:shd w:val="clear" w:color="auto" w:fill="DEEAF6"/>
            <w:noWrap/>
            <w:vAlign w:val="center"/>
            <w:hideMark/>
          </w:tcPr>
          <w:p w14:paraId="2F97257C"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Producto</w:t>
            </w:r>
          </w:p>
        </w:tc>
        <w:tc>
          <w:tcPr>
            <w:tcW w:w="1159" w:type="dxa"/>
            <w:shd w:val="clear" w:color="auto" w:fill="DEEAF6"/>
            <w:vAlign w:val="center"/>
          </w:tcPr>
          <w:p w14:paraId="5485D026"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Número de suscriptores</w:t>
            </w:r>
          </w:p>
        </w:tc>
        <w:tc>
          <w:tcPr>
            <w:tcW w:w="6495" w:type="dxa"/>
            <w:vMerge/>
            <w:shd w:val="clear" w:color="auto" w:fill="DEEAF6"/>
            <w:vAlign w:val="center"/>
          </w:tcPr>
          <w:p w14:paraId="2C8F344C"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p>
        </w:tc>
      </w:tr>
      <w:tr w:rsidR="005B72E8" w:rsidRPr="00FF7E3D" w14:paraId="1A24726C" w14:textId="77777777" w:rsidTr="005B72E8">
        <w:trPr>
          <w:trHeight w:val="409"/>
          <w:jc w:val="center"/>
        </w:trPr>
        <w:tc>
          <w:tcPr>
            <w:tcW w:w="1555" w:type="dxa"/>
            <w:shd w:val="clear" w:color="auto" w:fill="auto"/>
            <w:noWrap/>
            <w:vAlign w:val="center"/>
            <w:hideMark/>
          </w:tcPr>
          <w:p w14:paraId="0B332875" w14:textId="77777777" w:rsidR="005B72E8" w:rsidRPr="00F7314C" w:rsidRDefault="005B72E8"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 xml:space="preserve">Número de Suscriptores con micromedición </w:t>
            </w:r>
          </w:p>
        </w:tc>
        <w:tc>
          <w:tcPr>
            <w:tcW w:w="1134" w:type="dxa"/>
            <w:shd w:val="clear" w:color="auto" w:fill="auto"/>
            <w:noWrap/>
            <w:vAlign w:val="center"/>
            <w:hideMark/>
          </w:tcPr>
          <w:p w14:paraId="44A3C088"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Producto</w:t>
            </w:r>
          </w:p>
        </w:tc>
        <w:tc>
          <w:tcPr>
            <w:tcW w:w="1159" w:type="dxa"/>
            <w:shd w:val="clear" w:color="auto" w:fill="auto"/>
            <w:vAlign w:val="center"/>
          </w:tcPr>
          <w:p w14:paraId="591E0BCE"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Número de suscriptores</w:t>
            </w:r>
          </w:p>
        </w:tc>
        <w:tc>
          <w:tcPr>
            <w:tcW w:w="6495" w:type="dxa"/>
            <w:shd w:val="clear" w:color="auto" w:fill="auto"/>
            <w:vAlign w:val="center"/>
          </w:tcPr>
          <w:p w14:paraId="70B7B4FA" w14:textId="77777777" w:rsidR="005B72E8" w:rsidRPr="00F7314C" w:rsidRDefault="005B72E8" w:rsidP="00420B14">
            <w:pPr>
              <w:suppressAutoHyphens w:val="0"/>
              <w:spacing w:after="0" w:line="240" w:lineRule="auto"/>
              <w:jc w:val="center"/>
              <w:rPr>
                <w:rFonts w:ascii="Arial" w:hAnsi="Arial" w:cs="Arial"/>
                <w:sz w:val="16"/>
                <w:szCs w:val="16"/>
              </w:rPr>
            </w:pPr>
          </w:p>
          <w:p w14:paraId="52A6BE2D" w14:textId="77777777" w:rsidR="005B72E8" w:rsidRPr="006838BB" w:rsidRDefault="006838BB" w:rsidP="00420B14">
            <w:pPr>
              <w:suppressAutoHyphens w:val="0"/>
              <w:spacing w:after="0" w:line="240" w:lineRule="auto"/>
              <w:jc w:val="center"/>
              <w:rPr>
                <w:rFonts w:ascii="Arial" w:eastAsia="Times New Roman" w:hAnsi="Arial" w:cs="Arial"/>
                <w:sz w:val="16"/>
                <w:szCs w:val="16"/>
                <w:lang w:val="es-CO" w:eastAsia="es-CO"/>
              </w:rPr>
            </w:pPr>
            <m:oMathPara>
              <m:oMath>
                <m:r>
                  <w:rPr>
                    <w:rFonts w:ascii="Cambria Math" w:hAnsi="Cambria Math" w:cs="Arial"/>
                    <w:sz w:val="14"/>
                    <w:szCs w:val="16"/>
                  </w:rPr>
                  <m:t>Promedio suscriptores con micromedición=</m:t>
                </m:r>
                <m:f>
                  <m:fPr>
                    <m:ctrlPr>
                      <w:rPr>
                        <w:rFonts w:ascii="Cambria Math" w:hAnsi="Cambria Math" w:cs="Arial"/>
                        <w:i/>
                        <w:sz w:val="14"/>
                        <w:szCs w:val="16"/>
                      </w:rPr>
                    </m:ctrlPr>
                  </m:fPr>
                  <m:num>
                    <m:r>
                      <w:rPr>
                        <w:rFonts w:ascii="Cambria Math" w:hAnsi="Cambria Math" w:cs="Arial"/>
                        <w:sz w:val="14"/>
                        <w:szCs w:val="16"/>
                      </w:rPr>
                      <m:t>(Suscri</m:t>
                    </m:r>
                    <m:sSub>
                      <m:sSubPr>
                        <m:ctrlPr>
                          <w:rPr>
                            <w:rFonts w:ascii="Cambria Math" w:hAnsi="Cambria Math" w:cs="Arial"/>
                            <w:i/>
                            <w:sz w:val="14"/>
                            <w:szCs w:val="16"/>
                          </w:rPr>
                        </m:ctrlPr>
                      </m:sSubPr>
                      <m:e>
                        <m:r>
                          <w:rPr>
                            <w:rFonts w:ascii="Cambria Math" w:hAnsi="Cambria Math" w:cs="Arial"/>
                            <w:sz w:val="14"/>
                            <w:szCs w:val="16"/>
                          </w:rPr>
                          <m:t>p</m:t>
                        </m:r>
                      </m:e>
                      <m:sub>
                        <m:r>
                          <w:rPr>
                            <w:rFonts w:ascii="Cambria Math" w:hAnsi="Cambria Math" w:cs="Arial"/>
                            <w:sz w:val="14"/>
                            <w:szCs w:val="16"/>
                          </w:rPr>
                          <m:t>microm</m:t>
                        </m:r>
                      </m:sub>
                    </m:sSub>
                    <m:r>
                      <w:rPr>
                        <w:rFonts w:ascii="Cambria Math" w:hAnsi="Cambria Math" w:cs="Arial"/>
                        <w:sz w:val="14"/>
                        <w:szCs w:val="16"/>
                      </w:rPr>
                      <m:t>2013+ Suscri</m:t>
                    </m:r>
                    <m:sSub>
                      <m:sSubPr>
                        <m:ctrlPr>
                          <w:rPr>
                            <w:rFonts w:ascii="Cambria Math" w:hAnsi="Cambria Math" w:cs="Arial"/>
                            <w:i/>
                            <w:sz w:val="14"/>
                            <w:szCs w:val="16"/>
                          </w:rPr>
                        </m:ctrlPr>
                      </m:sSubPr>
                      <m:e>
                        <m:r>
                          <w:rPr>
                            <w:rFonts w:ascii="Cambria Math" w:hAnsi="Cambria Math" w:cs="Arial"/>
                            <w:sz w:val="14"/>
                            <w:szCs w:val="16"/>
                          </w:rPr>
                          <m:t>p</m:t>
                        </m:r>
                      </m:e>
                      <m:sub>
                        <m:r>
                          <w:rPr>
                            <w:rFonts w:ascii="Cambria Math" w:hAnsi="Cambria Math" w:cs="Arial"/>
                            <w:sz w:val="14"/>
                            <w:szCs w:val="16"/>
                          </w:rPr>
                          <m:t>microm</m:t>
                        </m:r>
                      </m:sub>
                    </m:sSub>
                    <m:r>
                      <w:rPr>
                        <w:rFonts w:ascii="Cambria Math" w:hAnsi="Cambria Math" w:cs="Arial"/>
                        <w:sz w:val="14"/>
                        <w:szCs w:val="16"/>
                      </w:rPr>
                      <m:t>2014)</m:t>
                    </m:r>
                  </m:num>
                  <m:den>
                    <m:r>
                      <w:rPr>
                        <w:rFonts w:ascii="Cambria Math" w:hAnsi="Cambria Math" w:cs="Arial"/>
                        <w:sz w:val="14"/>
                        <w:szCs w:val="16"/>
                      </w:rPr>
                      <m:t>2</m:t>
                    </m:r>
                  </m:den>
                </m:f>
              </m:oMath>
            </m:oMathPara>
          </w:p>
          <w:p w14:paraId="61DA98CA"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p>
        </w:tc>
      </w:tr>
      <w:tr w:rsidR="005B72E8" w:rsidRPr="00FF7E3D" w14:paraId="154613C6" w14:textId="77777777" w:rsidTr="005B72E8">
        <w:trPr>
          <w:trHeight w:val="409"/>
          <w:jc w:val="center"/>
        </w:trPr>
        <w:tc>
          <w:tcPr>
            <w:tcW w:w="1555" w:type="dxa"/>
            <w:shd w:val="clear" w:color="auto" w:fill="DEEAF6"/>
            <w:noWrap/>
            <w:vAlign w:val="center"/>
            <w:hideMark/>
          </w:tcPr>
          <w:p w14:paraId="03466870" w14:textId="77777777" w:rsidR="005B72E8" w:rsidRPr="00F7314C" w:rsidRDefault="005B72E8"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Número de suscriptores de estratos 1 y 2</w:t>
            </w:r>
          </w:p>
        </w:tc>
        <w:tc>
          <w:tcPr>
            <w:tcW w:w="1134" w:type="dxa"/>
            <w:shd w:val="clear" w:color="auto" w:fill="DEEAF6"/>
            <w:noWrap/>
            <w:vAlign w:val="center"/>
            <w:hideMark/>
          </w:tcPr>
          <w:p w14:paraId="3F2143F0"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Producto</w:t>
            </w:r>
          </w:p>
        </w:tc>
        <w:tc>
          <w:tcPr>
            <w:tcW w:w="1159" w:type="dxa"/>
            <w:shd w:val="clear" w:color="auto" w:fill="DEEAF6"/>
            <w:vAlign w:val="center"/>
          </w:tcPr>
          <w:p w14:paraId="7A383151"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Número de suscriptores</w:t>
            </w:r>
            <w:r w:rsidRPr="00F7314C" w:rsidDel="00ED2B84">
              <w:rPr>
                <w:rFonts w:ascii="Arial" w:eastAsia="Times New Roman" w:hAnsi="Arial" w:cs="Arial"/>
                <w:sz w:val="16"/>
                <w:szCs w:val="16"/>
                <w:lang w:val="es-CO" w:eastAsia="es-CO"/>
              </w:rPr>
              <w:t xml:space="preserve"> </w:t>
            </w:r>
          </w:p>
        </w:tc>
        <w:tc>
          <w:tcPr>
            <w:tcW w:w="6495" w:type="dxa"/>
            <w:shd w:val="clear" w:color="auto" w:fill="DEEAF6"/>
            <w:vAlign w:val="center"/>
          </w:tcPr>
          <w:p w14:paraId="58C8ED2E" w14:textId="77777777" w:rsidR="005B72E8" w:rsidRPr="00F7314C" w:rsidRDefault="005B72E8" w:rsidP="00420B14">
            <w:pPr>
              <w:pStyle w:val="Prrafodelista"/>
              <w:tabs>
                <w:tab w:val="left" w:pos="284"/>
              </w:tabs>
              <w:spacing w:after="0" w:line="240" w:lineRule="auto"/>
              <w:ind w:left="0"/>
              <w:rPr>
                <w:rFonts w:ascii="Arial" w:hAnsi="Arial" w:cs="Arial"/>
                <w:sz w:val="16"/>
                <w:szCs w:val="16"/>
              </w:rPr>
            </w:pPr>
          </w:p>
          <w:p w14:paraId="2F3FE82F" w14:textId="77777777" w:rsidR="005B72E8" w:rsidRPr="006838BB" w:rsidRDefault="006838BB" w:rsidP="00420B14">
            <w:pPr>
              <w:pStyle w:val="Prrafodelista"/>
              <w:tabs>
                <w:tab w:val="left" w:pos="284"/>
              </w:tabs>
              <w:spacing w:after="0" w:line="240" w:lineRule="auto"/>
              <w:ind w:left="0"/>
              <w:jc w:val="center"/>
              <w:rPr>
                <w:rFonts w:ascii="Arial" w:hAnsi="Arial" w:cs="Arial"/>
                <w:i/>
                <w:sz w:val="14"/>
                <w:szCs w:val="16"/>
              </w:rPr>
            </w:pPr>
            <m:oMathPara>
              <m:oMath>
                <m:r>
                  <w:rPr>
                    <w:rFonts w:ascii="Cambria Math" w:hAnsi="Cambria Math" w:cs="Arial"/>
                    <w:sz w:val="14"/>
                    <w:szCs w:val="16"/>
                    <w:lang w:val="es-ES_tradnl"/>
                  </w:rPr>
                  <m:t>Promedio Suscriptores 1y 2 año j=</m:t>
                </m:r>
                <m:f>
                  <m:fPr>
                    <m:ctrlPr>
                      <w:rPr>
                        <w:rFonts w:ascii="Cambria Math" w:hAnsi="Cambria Math" w:cs="Arial"/>
                        <w:i/>
                        <w:sz w:val="14"/>
                        <w:szCs w:val="16"/>
                        <w:lang w:val="es-ES_tradnl"/>
                      </w:rPr>
                    </m:ctrlPr>
                  </m:fPr>
                  <m:num>
                    <m:sSub>
                      <m:sSubPr>
                        <m:ctrlPr>
                          <w:rPr>
                            <w:rFonts w:ascii="Cambria Math" w:hAnsi="Cambria Math" w:cs="Arial"/>
                            <w:i/>
                            <w:sz w:val="14"/>
                            <w:szCs w:val="16"/>
                            <w:lang w:val="es-ES_tradnl"/>
                          </w:rPr>
                        </m:ctrlPr>
                      </m:sSubPr>
                      <m:e>
                        <m:r>
                          <w:rPr>
                            <w:rFonts w:ascii="Cambria Math" w:hAnsi="Cambria Math" w:cs="Arial"/>
                            <w:sz w:val="14"/>
                            <w:szCs w:val="16"/>
                            <w:lang w:val="es-ES_tradnl"/>
                          </w:rPr>
                          <m:t>(Sus1</m:t>
                        </m:r>
                      </m:e>
                      <m:sub>
                        <m:r>
                          <w:rPr>
                            <w:rFonts w:ascii="Cambria Math" w:hAnsi="Cambria Math" w:cs="Arial"/>
                            <w:sz w:val="14"/>
                            <w:szCs w:val="16"/>
                            <w:lang w:val="es-ES_tradnl"/>
                          </w:rPr>
                          <m:t>ac</m:t>
                        </m:r>
                      </m:sub>
                    </m:sSub>
                    <m:r>
                      <w:rPr>
                        <w:rFonts w:ascii="Cambria Math" w:hAnsi="Cambria Math" w:cs="Arial"/>
                        <w:sz w:val="14"/>
                        <w:szCs w:val="16"/>
                        <w:lang w:val="es-ES_tradnl"/>
                      </w:rPr>
                      <m:t>+</m:t>
                    </m:r>
                    <m:sSub>
                      <m:sSubPr>
                        <m:ctrlPr>
                          <w:rPr>
                            <w:rFonts w:ascii="Cambria Math" w:hAnsi="Cambria Math" w:cs="Arial"/>
                            <w:i/>
                            <w:sz w:val="14"/>
                            <w:szCs w:val="16"/>
                            <w:lang w:val="es-ES_tradnl"/>
                          </w:rPr>
                        </m:ctrlPr>
                      </m:sSubPr>
                      <m:e>
                        <m:r>
                          <w:rPr>
                            <w:rFonts w:ascii="Cambria Math" w:hAnsi="Cambria Math" w:cs="Arial"/>
                            <w:sz w:val="14"/>
                            <w:szCs w:val="16"/>
                            <w:lang w:val="es-ES_tradnl"/>
                          </w:rPr>
                          <m:t>Sus2</m:t>
                        </m:r>
                      </m:e>
                      <m:sub>
                        <m:r>
                          <w:rPr>
                            <w:rFonts w:ascii="Cambria Math" w:hAnsi="Cambria Math" w:cs="Arial"/>
                            <w:sz w:val="14"/>
                            <w:szCs w:val="16"/>
                            <w:lang w:val="es-ES_tradnl"/>
                          </w:rPr>
                          <m:t>ac</m:t>
                        </m:r>
                      </m:sub>
                    </m:sSub>
                    <m:r>
                      <w:rPr>
                        <w:rFonts w:ascii="Cambria Math" w:hAnsi="Cambria Math" w:cs="Arial"/>
                        <w:sz w:val="14"/>
                        <w:szCs w:val="16"/>
                        <w:lang w:val="es-ES_tradnl"/>
                      </w:rPr>
                      <m:t xml:space="preserve">)+ </m:t>
                    </m:r>
                    <m:sSub>
                      <m:sSubPr>
                        <m:ctrlPr>
                          <w:rPr>
                            <w:rFonts w:ascii="Cambria Math" w:hAnsi="Cambria Math" w:cs="Arial"/>
                            <w:i/>
                            <w:sz w:val="14"/>
                            <w:szCs w:val="16"/>
                            <w:lang w:val="es-ES_tradnl"/>
                          </w:rPr>
                        </m:ctrlPr>
                      </m:sSubPr>
                      <m:e>
                        <m:r>
                          <w:rPr>
                            <w:rFonts w:ascii="Cambria Math" w:hAnsi="Cambria Math" w:cs="Arial"/>
                            <w:sz w:val="14"/>
                            <w:szCs w:val="16"/>
                            <w:lang w:val="es-ES_tradnl"/>
                          </w:rPr>
                          <m:t>(Sus1</m:t>
                        </m:r>
                      </m:e>
                      <m:sub>
                        <m:r>
                          <w:rPr>
                            <w:rFonts w:ascii="Cambria Math" w:hAnsi="Cambria Math" w:cs="Arial"/>
                            <w:sz w:val="14"/>
                            <w:szCs w:val="16"/>
                            <w:lang w:val="es-ES_tradnl"/>
                          </w:rPr>
                          <m:t>al</m:t>
                        </m:r>
                      </m:sub>
                    </m:sSub>
                    <m:r>
                      <w:rPr>
                        <w:rFonts w:ascii="Cambria Math" w:hAnsi="Cambria Math" w:cs="Arial"/>
                        <w:sz w:val="14"/>
                        <w:szCs w:val="16"/>
                        <w:lang w:val="es-ES_tradnl"/>
                      </w:rPr>
                      <m:t>+</m:t>
                    </m:r>
                    <m:sSub>
                      <m:sSubPr>
                        <m:ctrlPr>
                          <w:rPr>
                            <w:rFonts w:ascii="Cambria Math" w:hAnsi="Cambria Math" w:cs="Arial"/>
                            <w:i/>
                            <w:sz w:val="14"/>
                            <w:szCs w:val="16"/>
                            <w:lang w:val="es-ES_tradnl"/>
                          </w:rPr>
                        </m:ctrlPr>
                      </m:sSubPr>
                      <m:e>
                        <m:r>
                          <w:rPr>
                            <w:rFonts w:ascii="Cambria Math" w:hAnsi="Cambria Math" w:cs="Arial"/>
                            <w:sz w:val="14"/>
                            <w:szCs w:val="16"/>
                            <w:lang w:val="es-ES_tradnl"/>
                          </w:rPr>
                          <m:t>Sus2</m:t>
                        </m:r>
                      </m:e>
                      <m:sub>
                        <m:r>
                          <w:rPr>
                            <w:rFonts w:ascii="Cambria Math" w:hAnsi="Cambria Math" w:cs="Arial"/>
                            <w:sz w:val="14"/>
                            <w:szCs w:val="16"/>
                            <w:lang w:val="es-ES_tradnl"/>
                          </w:rPr>
                          <m:t>al</m:t>
                        </m:r>
                      </m:sub>
                    </m:sSub>
                    <m:r>
                      <w:rPr>
                        <w:rFonts w:ascii="Cambria Math" w:hAnsi="Cambria Math" w:cs="Arial"/>
                        <w:sz w:val="14"/>
                        <w:szCs w:val="16"/>
                        <w:lang w:val="es-ES_tradnl"/>
                      </w:rPr>
                      <m:t>)</m:t>
                    </m:r>
                  </m:num>
                  <m:den>
                    <m:r>
                      <w:rPr>
                        <w:rFonts w:ascii="Cambria Math" w:hAnsi="Cambria Math" w:cs="Arial"/>
                        <w:sz w:val="14"/>
                        <w:szCs w:val="16"/>
                        <w:lang w:val="es-ES_tradnl"/>
                      </w:rPr>
                      <m:t>2</m:t>
                    </m:r>
                  </m:den>
                </m:f>
              </m:oMath>
            </m:oMathPara>
          </w:p>
          <w:p w14:paraId="41BB312F" w14:textId="77777777" w:rsidR="005B72E8" w:rsidRPr="00F7314C" w:rsidRDefault="005B72E8" w:rsidP="00420B14">
            <w:pPr>
              <w:pStyle w:val="Prrafodelista"/>
              <w:tabs>
                <w:tab w:val="left" w:pos="284"/>
              </w:tabs>
              <w:spacing w:after="0" w:line="240" w:lineRule="auto"/>
              <w:ind w:left="0"/>
              <w:jc w:val="center"/>
              <w:rPr>
                <w:rFonts w:ascii="Arial" w:hAnsi="Arial" w:cs="Arial"/>
                <w:i/>
                <w:sz w:val="16"/>
                <w:szCs w:val="16"/>
                <w:lang w:val="es-ES_tradnl"/>
              </w:rPr>
            </w:pPr>
            <w:r w:rsidRPr="00F7314C">
              <w:rPr>
                <w:rFonts w:ascii="Arial" w:hAnsi="Arial" w:cs="Arial"/>
                <w:i/>
                <w:sz w:val="16"/>
                <w:szCs w:val="16"/>
                <w:lang w:val="es-ES_tradnl"/>
              </w:rPr>
              <w:t>donde año j= 2013 y 2014</w:t>
            </w:r>
          </w:p>
          <w:p w14:paraId="455AB74F" w14:textId="77777777" w:rsidR="005B72E8" w:rsidRPr="00F7314C" w:rsidRDefault="005B72E8" w:rsidP="00420B14">
            <w:pPr>
              <w:suppressAutoHyphens w:val="0"/>
              <w:spacing w:after="0" w:line="240" w:lineRule="auto"/>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 xml:space="preserve">Luego, </w:t>
            </w:r>
          </w:p>
          <w:p w14:paraId="4437265E" w14:textId="77777777" w:rsidR="005B72E8" w:rsidRPr="009D2E20" w:rsidRDefault="005B72E8" w:rsidP="00420B14">
            <w:pPr>
              <w:suppressAutoHyphens w:val="0"/>
              <w:spacing w:after="0" w:line="240" w:lineRule="auto"/>
              <w:jc w:val="center"/>
              <w:rPr>
                <w:rFonts w:ascii="Arial" w:eastAsia="Times New Roman" w:hAnsi="Arial" w:cs="Arial"/>
                <w:i/>
                <w:sz w:val="15"/>
                <w:szCs w:val="15"/>
                <w:lang w:val="es-CO" w:eastAsia="es-CO"/>
              </w:rPr>
            </w:pPr>
            <w:r w:rsidRPr="009D2E20">
              <w:rPr>
                <w:rFonts w:ascii="Arial" w:eastAsia="Times New Roman" w:hAnsi="Arial" w:cs="Arial"/>
                <w:i/>
                <w:sz w:val="15"/>
                <w:szCs w:val="15"/>
                <w:lang w:val="es-CO" w:eastAsia="es-CO"/>
              </w:rPr>
              <w:t xml:space="preserve">Promedio (Suscriptores estrato1,2 </w:t>
            </w:r>
            <w:r w:rsidRPr="009D2E20">
              <w:rPr>
                <w:rFonts w:ascii="Arial" w:eastAsia="Times New Roman" w:hAnsi="Arial" w:cs="Arial"/>
                <w:i/>
                <w:sz w:val="15"/>
                <w:szCs w:val="15"/>
                <w:vertAlign w:val="subscript"/>
                <w:lang w:val="es-CO" w:eastAsia="es-CO"/>
              </w:rPr>
              <w:t>Año</w:t>
            </w:r>
            <w:r w:rsidRPr="009D2E20">
              <w:rPr>
                <w:rFonts w:ascii="Arial" w:eastAsia="Times New Roman" w:hAnsi="Arial" w:cs="Arial"/>
                <w:i/>
                <w:sz w:val="15"/>
                <w:szCs w:val="15"/>
                <w:lang w:val="es-CO" w:eastAsia="es-CO"/>
              </w:rPr>
              <w:t xml:space="preserve"> </w:t>
            </w:r>
            <w:r w:rsidRPr="009D2E20">
              <w:rPr>
                <w:rFonts w:ascii="Arial" w:eastAsia="Times New Roman" w:hAnsi="Arial" w:cs="Arial"/>
                <w:i/>
                <w:sz w:val="15"/>
                <w:szCs w:val="15"/>
                <w:vertAlign w:val="subscript"/>
                <w:lang w:val="es-CO" w:eastAsia="es-CO"/>
              </w:rPr>
              <w:t>2013</w:t>
            </w:r>
            <w:r w:rsidRPr="009D2E20">
              <w:rPr>
                <w:rFonts w:ascii="Arial" w:eastAsia="Times New Roman" w:hAnsi="Arial" w:cs="Arial"/>
                <w:i/>
                <w:sz w:val="15"/>
                <w:szCs w:val="15"/>
                <w:lang w:val="es-CO" w:eastAsia="es-CO"/>
              </w:rPr>
              <w:t xml:space="preserve">, Suscriptores estrato 1,2 </w:t>
            </w:r>
            <w:r w:rsidRPr="009D2E20">
              <w:rPr>
                <w:rFonts w:ascii="Arial" w:eastAsia="Times New Roman" w:hAnsi="Arial" w:cs="Arial"/>
                <w:i/>
                <w:sz w:val="15"/>
                <w:szCs w:val="15"/>
                <w:vertAlign w:val="subscript"/>
                <w:lang w:val="es-CO" w:eastAsia="es-CO"/>
              </w:rPr>
              <w:t>Año 2014</w:t>
            </w:r>
            <w:r w:rsidRPr="009D2E20">
              <w:rPr>
                <w:rFonts w:ascii="Arial" w:eastAsia="Times New Roman" w:hAnsi="Arial" w:cs="Arial"/>
                <w:i/>
                <w:sz w:val="15"/>
                <w:szCs w:val="15"/>
                <w:lang w:val="es-CO" w:eastAsia="es-CO"/>
              </w:rPr>
              <w:t>)</w:t>
            </w:r>
          </w:p>
          <w:p w14:paraId="12C7C7BB"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p>
        </w:tc>
      </w:tr>
      <w:tr w:rsidR="005B72E8" w:rsidRPr="00FF7E3D" w14:paraId="4E600830" w14:textId="77777777" w:rsidTr="005B72E8">
        <w:trPr>
          <w:trHeight w:val="1413"/>
          <w:jc w:val="center"/>
        </w:trPr>
        <w:tc>
          <w:tcPr>
            <w:tcW w:w="1555" w:type="dxa"/>
            <w:shd w:val="clear" w:color="auto" w:fill="auto"/>
            <w:noWrap/>
            <w:vAlign w:val="center"/>
          </w:tcPr>
          <w:p w14:paraId="3C71474E" w14:textId="77777777" w:rsidR="005B72E8" w:rsidRPr="00F7314C" w:rsidRDefault="005B72E8"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Número de suscriptores industriales y comerciales</w:t>
            </w:r>
          </w:p>
        </w:tc>
        <w:tc>
          <w:tcPr>
            <w:tcW w:w="1134" w:type="dxa"/>
            <w:shd w:val="clear" w:color="auto" w:fill="auto"/>
            <w:noWrap/>
            <w:vAlign w:val="center"/>
          </w:tcPr>
          <w:p w14:paraId="60C953E6" w14:textId="77777777" w:rsidR="005B72E8" w:rsidRPr="00F7314C" w:rsidRDefault="005B72E8" w:rsidP="00420B14">
            <w:pPr>
              <w:suppressAutoHyphens w:val="0"/>
              <w:spacing w:after="0" w:line="240" w:lineRule="auto"/>
              <w:jc w:val="center"/>
              <w:rPr>
                <w:rFonts w:ascii="Arial" w:eastAsia="Times New Roman" w:hAnsi="Arial" w:cs="Arial"/>
                <w:b/>
                <w:sz w:val="16"/>
                <w:szCs w:val="16"/>
                <w:lang w:val="es-CO" w:eastAsia="es-CO"/>
              </w:rPr>
            </w:pPr>
            <w:r w:rsidRPr="00F7314C">
              <w:rPr>
                <w:rFonts w:ascii="Arial" w:eastAsia="Times New Roman" w:hAnsi="Arial" w:cs="Arial"/>
                <w:sz w:val="16"/>
                <w:szCs w:val="16"/>
                <w:lang w:val="es-CO" w:eastAsia="es-CO"/>
              </w:rPr>
              <w:t>Producto</w:t>
            </w:r>
          </w:p>
        </w:tc>
        <w:tc>
          <w:tcPr>
            <w:tcW w:w="1159" w:type="dxa"/>
            <w:shd w:val="clear" w:color="auto" w:fill="auto"/>
            <w:vAlign w:val="center"/>
          </w:tcPr>
          <w:p w14:paraId="26A49338" w14:textId="77777777" w:rsidR="005B72E8" w:rsidRPr="00F7314C" w:rsidRDefault="005B72E8" w:rsidP="00420B14">
            <w:pPr>
              <w:suppressAutoHyphens w:val="0"/>
              <w:spacing w:after="0" w:line="240" w:lineRule="auto"/>
              <w:jc w:val="center"/>
              <w:rPr>
                <w:rFonts w:ascii="Arial" w:eastAsia="Times New Roman" w:hAnsi="Arial" w:cs="Arial"/>
                <w:b/>
                <w:sz w:val="16"/>
                <w:szCs w:val="16"/>
                <w:lang w:val="es-CO" w:eastAsia="es-CO"/>
              </w:rPr>
            </w:pPr>
            <w:r w:rsidRPr="00F7314C">
              <w:rPr>
                <w:rFonts w:ascii="Arial" w:eastAsia="Times New Roman" w:hAnsi="Arial" w:cs="Arial"/>
                <w:sz w:val="16"/>
                <w:szCs w:val="16"/>
                <w:lang w:val="es-CO" w:eastAsia="es-CO"/>
              </w:rPr>
              <w:t>número de suscriptores</w:t>
            </w:r>
          </w:p>
        </w:tc>
        <w:tc>
          <w:tcPr>
            <w:tcW w:w="6495" w:type="dxa"/>
            <w:shd w:val="clear" w:color="auto" w:fill="auto"/>
          </w:tcPr>
          <w:p w14:paraId="12B09E11" w14:textId="77777777" w:rsidR="005B72E8" w:rsidRPr="00F7314C" w:rsidRDefault="005B72E8" w:rsidP="00420B14">
            <w:pPr>
              <w:pStyle w:val="Prrafodelista"/>
              <w:tabs>
                <w:tab w:val="left" w:pos="284"/>
              </w:tabs>
              <w:spacing w:after="0" w:line="240" w:lineRule="auto"/>
              <w:ind w:left="0"/>
              <w:jc w:val="center"/>
              <w:rPr>
                <w:rFonts w:ascii="Arial" w:hAnsi="Arial" w:cs="Arial"/>
                <w:sz w:val="16"/>
                <w:szCs w:val="16"/>
              </w:rPr>
            </w:pPr>
          </w:p>
          <w:p w14:paraId="1CACBA09" w14:textId="77777777" w:rsidR="005B72E8" w:rsidRPr="006838BB" w:rsidRDefault="006838BB" w:rsidP="00420B14">
            <w:pPr>
              <w:pStyle w:val="Prrafodelista"/>
              <w:tabs>
                <w:tab w:val="left" w:pos="284"/>
              </w:tabs>
              <w:spacing w:after="0" w:line="240" w:lineRule="auto"/>
              <w:ind w:left="0"/>
              <w:jc w:val="center"/>
              <w:rPr>
                <w:rFonts w:ascii="Arial" w:hAnsi="Arial" w:cs="Arial"/>
                <w:sz w:val="15"/>
                <w:szCs w:val="15"/>
                <w:lang w:val="es-ES_tradnl"/>
              </w:rPr>
            </w:pPr>
            <m:oMathPara>
              <m:oMathParaPr>
                <m:jc m:val="center"/>
              </m:oMathParaPr>
              <m:oMath>
                <m:r>
                  <m:rPr>
                    <m:nor/>
                  </m:rPr>
                  <w:rPr>
                    <w:rFonts w:ascii="Arial" w:hAnsi="Arial" w:cs="Arial"/>
                    <w:i/>
                    <w:sz w:val="15"/>
                    <w:szCs w:val="15"/>
                    <w:lang w:val="es-ES_tradnl"/>
                  </w:rPr>
                  <m:t>Promedio año j de suscriptores industriales y comerciales ac,al =</m:t>
                </m:r>
              </m:oMath>
            </m:oMathPara>
          </w:p>
          <w:p w14:paraId="2969A62A" w14:textId="77777777" w:rsidR="005B72E8" w:rsidRPr="006838BB" w:rsidRDefault="006838BB" w:rsidP="00420B14">
            <w:pPr>
              <w:pStyle w:val="Prrafodelista"/>
              <w:tabs>
                <w:tab w:val="left" w:pos="284"/>
              </w:tabs>
              <w:spacing w:after="0" w:line="240" w:lineRule="auto"/>
              <w:ind w:left="0"/>
              <w:jc w:val="center"/>
              <w:rPr>
                <w:rFonts w:ascii="Arial" w:hAnsi="Arial" w:cs="Arial"/>
                <w:sz w:val="15"/>
                <w:szCs w:val="15"/>
              </w:rPr>
            </w:pPr>
            <m:oMathPara>
              <m:oMathParaPr>
                <m:jc m:val="center"/>
              </m:oMathParaPr>
              <m:oMath>
                <m:r>
                  <m:rPr>
                    <m:nor/>
                  </m:rPr>
                  <w:rPr>
                    <w:rFonts w:ascii="Arial" w:hAnsi="Arial" w:cs="Arial"/>
                    <w:i/>
                    <w:sz w:val="15"/>
                    <w:szCs w:val="15"/>
                    <w:lang w:val="es-ES_tradnl"/>
                  </w:rPr>
                  <m:t xml:space="preserve"> </m:t>
                </m:r>
                <m:f>
                  <m:fPr>
                    <m:ctrlPr>
                      <w:rPr>
                        <w:rFonts w:ascii="Cambria Math" w:hAnsi="Cambria Math" w:cs="Arial"/>
                        <w:i/>
                        <w:sz w:val="15"/>
                        <w:szCs w:val="15"/>
                        <w:lang w:val="es-ES_tradnl"/>
                      </w:rPr>
                    </m:ctrlPr>
                  </m:fPr>
                  <m:num>
                    <m:sSub>
                      <m:sSubPr>
                        <m:ctrlPr>
                          <w:rPr>
                            <w:rFonts w:ascii="Cambria Math" w:hAnsi="Cambria Math" w:cs="Arial"/>
                            <w:i/>
                            <w:sz w:val="15"/>
                            <w:szCs w:val="15"/>
                            <w:lang w:val="es-ES_tradnl"/>
                          </w:rPr>
                        </m:ctrlPr>
                      </m:sSubPr>
                      <m:e>
                        <m:r>
                          <m:rPr>
                            <m:nor/>
                          </m:rPr>
                          <w:rPr>
                            <w:rFonts w:ascii="Arial" w:hAnsi="Arial" w:cs="Arial"/>
                            <w:i/>
                            <w:sz w:val="15"/>
                            <w:szCs w:val="15"/>
                            <w:lang w:val="es-ES_tradnl"/>
                          </w:rPr>
                          <m:t>(SusInd</m:t>
                        </m:r>
                      </m:e>
                      <m:sub>
                        <m:r>
                          <m:rPr>
                            <m:nor/>
                          </m:rPr>
                          <w:rPr>
                            <w:rFonts w:ascii="Arial" w:hAnsi="Arial" w:cs="Arial"/>
                            <w:i/>
                            <w:sz w:val="15"/>
                            <w:szCs w:val="15"/>
                            <w:lang w:val="es-ES_tradnl"/>
                          </w:rPr>
                          <m:t>ac</m:t>
                        </m:r>
                      </m:sub>
                    </m:sSub>
                    <m:r>
                      <m:rPr>
                        <m:nor/>
                      </m:rPr>
                      <w:rPr>
                        <w:rFonts w:ascii="Arial" w:hAnsi="Arial" w:cs="Arial"/>
                        <w:i/>
                        <w:sz w:val="15"/>
                        <w:szCs w:val="15"/>
                        <w:lang w:val="es-ES_tradnl"/>
                      </w:rPr>
                      <m:t>+</m:t>
                    </m:r>
                    <m:sSub>
                      <m:sSubPr>
                        <m:ctrlPr>
                          <w:rPr>
                            <w:rFonts w:ascii="Cambria Math" w:hAnsi="Cambria Math" w:cs="Arial"/>
                            <w:i/>
                            <w:sz w:val="15"/>
                            <w:szCs w:val="15"/>
                            <w:lang w:val="es-ES_tradnl"/>
                          </w:rPr>
                        </m:ctrlPr>
                      </m:sSubPr>
                      <m:e>
                        <m:r>
                          <m:rPr>
                            <m:nor/>
                          </m:rPr>
                          <w:rPr>
                            <w:rFonts w:ascii="Arial" w:hAnsi="Arial" w:cs="Arial"/>
                            <w:i/>
                            <w:sz w:val="15"/>
                            <w:szCs w:val="15"/>
                            <w:lang w:val="es-ES_tradnl"/>
                          </w:rPr>
                          <m:t>SusCom</m:t>
                        </m:r>
                        <m:ctrlPr>
                          <w:rPr>
                            <w:rFonts w:ascii="Cambria Math" w:eastAsia="Cambria Math" w:hAnsi="Cambria Math" w:cs="Arial"/>
                            <w:i/>
                            <w:sz w:val="15"/>
                            <w:szCs w:val="15"/>
                            <w:lang w:val="es-ES_tradnl"/>
                          </w:rPr>
                        </m:ctrlPr>
                      </m:e>
                      <m:sub>
                        <m:r>
                          <m:rPr>
                            <m:nor/>
                          </m:rPr>
                          <w:rPr>
                            <w:rFonts w:ascii="Arial" w:hAnsi="Arial" w:cs="Arial"/>
                            <w:i/>
                            <w:sz w:val="15"/>
                            <w:szCs w:val="15"/>
                            <w:lang w:val="es-ES_tradnl"/>
                          </w:rPr>
                          <m:t>ac</m:t>
                        </m:r>
                      </m:sub>
                    </m:sSub>
                    <m:r>
                      <m:rPr>
                        <m:nor/>
                      </m:rPr>
                      <w:rPr>
                        <w:rFonts w:ascii="Arial" w:hAnsi="Arial" w:cs="Arial"/>
                        <w:i/>
                        <w:sz w:val="15"/>
                        <w:szCs w:val="15"/>
                        <w:lang w:val="es-ES_tradnl"/>
                      </w:rPr>
                      <m:t>)+</m:t>
                    </m:r>
                    <m:r>
                      <w:rPr>
                        <w:rFonts w:ascii="Cambria Math" w:hAnsi="Cambria Math" w:cs="Arial"/>
                        <w:sz w:val="15"/>
                        <w:szCs w:val="15"/>
                        <w:lang w:val="es-ES_tradnl"/>
                      </w:rPr>
                      <m:t xml:space="preserve"> </m:t>
                    </m:r>
                    <m:sSub>
                      <m:sSubPr>
                        <m:ctrlPr>
                          <w:rPr>
                            <w:rFonts w:ascii="Cambria Math" w:hAnsi="Cambria Math" w:cs="Arial"/>
                            <w:i/>
                            <w:sz w:val="15"/>
                            <w:szCs w:val="15"/>
                            <w:lang w:val="es-ES_tradnl"/>
                          </w:rPr>
                        </m:ctrlPr>
                      </m:sSubPr>
                      <m:e>
                        <m:r>
                          <m:rPr>
                            <m:nor/>
                          </m:rPr>
                          <w:rPr>
                            <w:rFonts w:ascii="Arial" w:hAnsi="Arial" w:cs="Arial"/>
                            <w:i/>
                            <w:sz w:val="15"/>
                            <w:szCs w:val="15"/>
                            <w:lang w:val="es-ES_tradnl"/>
                          </w:rPr>
                          <m:t>(SusInd</m:t>
                        </m:r>
                      </m:e>
                      <m:sub>
                        <m:r>
                          <m:rPr>
                            <m:nor/>
                          </m:rPr>
                          <w:rPr>
                            <w:rFonts w:ascii="Arial" w:hAnsi="Arial" w:cs="Arial"/>
                            <w:i/>
                            <w:sz w:val="15"/>
                            <w:szCs w:val="15"/>
                            <w:lang w:val="es-ES_tradnl"/>
                          </w:rPr>
                          <m:t>al</m:t>
                        </m:r>
                      </m:sub>
                    </m:sSub>
                    <m:r>
                      <m:rPr>
                        <m:nor/>
                      </m:rPr>
                      <w:rPr>
                        <w:rFonts w:ascii="Arial" w:hAnsi="Arial" w:cs="Arial"/>
                        <w:i/>
                        <w:sz w:val="15"/>
                        <w:szCs w:val="15"/>
                        <w:lang w:val="es-ES_tradnl"/>
                      </w:rPr>
                      <m:t>+</m:t>
                    </m:r>
                    <m:sSub>
                      <m:sSubPr>
                        <m:ctrlPr>
                          <w:rPr>
                            <w:rFonts w:ascii="Cambria Math" w:hAnsi="Cambria Math" w:cs="Arial"/>
                            <w:i/>
                            <w:sz w:val="15"/>
                            <w:szCs w:val="15"/>
                            <w:lang w:val="es-ES_tradnl"/>
                          </w:rPr>
                        </m:ctrlPr>
                      </m:sSubPr>
                      <m:e>
                        <m:r>
                          <m:rPr>
                            <m:nor/>
                          </m:rPr>
                          <w:rPr>
                            <w:rFonts w:ascii="Arial" w:hAnsi="Arial" w:cs="Arial"/>
                            <w:i/>
                            <w:sz w:val="15"/>
                            <w:szCs w:val="15"/>
                            <w:lang w:val="es-ES_tradnl"/>
                          </w:rPr>
                          <m:t>SusCom</m:t>
                        </m:r>
                        <m:ctrlPr>
                          <w:rPr>
                            <w:rFonts w:ascii="Cambria Math" w:eastAsia="Cambria Math" w:hAnsi="Cambria Math" w:cs="Arial"/>
                            <w:i/>
                            <w:sz w:val="15"/>
                            <w:szCs w:val="15"/>
                            <w:lang w:val="es-ES_tradnl"/>
                          </w:rPr>
                        </m:ctrlPr>
                      </m:e>
                      <m:sub>
                        <m:r>
                          <m:rPr>
                            <m:nor/>
                          </m:rPr>
                          <w:rPr>
                            <w:rFonts w:ascii="Arial" w:hAnsi="Arial" w:cs="Arial"/>
                            <w:i/>
                            <w:sz w:val="15"/>
                            <w:szCs w:val="15"/>
                            <w:lang w:val="es-ES_tradnl"/>
                          </w:rPr>
                          <m:t>al</m:t>
                        </m:r>
                      </m:sub>
                    </m:sSub>
                    <m:r>
                      <m:rPr>
                        <m:nor/>
                      </m:rPr>
                      <w:rPr>
                        <w:rFonts w:ascii="Arial" w:hAnsi="Arial" w:cs="Arial"/>
                        <w:i/>
                        <w:sz w:val="15"/>
                        <w:szCs w:val="15"/>
                        <w:lang w:val="es-ES_tradnl"/>
                      </w:rPr>
                      <m:t>)</m:t>
                    </m:r>
                  </m:num>
                  <m:den>
                    <m:r>
                      <m:rPr>
                        <m:nor/>
                      </m:rPr>
                      <w:rPr>
                        <w:rFonts w:ascii="Arial" w:hAnsi="Arial" w:cs="Arial"/>
                        <w:i/>
                        <w:sz w:val="15"/>
                        <w:szCs w:val="15"/>
                        <w:lang w:val="es-ES_tradnl"/>
                      </w:rPr>
                      <m:t>2</m:t>
                    </m:r>
                  </m:den>
                </m:f>
                <m:r>
                  <w:rPr>
                    <w:rFonts w:ascii="Cambria Math" w:hAnsi="Cambria Math" w:cs="Arial"/>
                    <w:sz w:val="15"/>
                    <w:szCs w:val="15"/>
                    <w:lang w:val="es-ES_tradnl"/>
                  </w:rPr>
                  <m:t xml:space="preserve">                     </m:t>
                </m:r>
              </m:oMath>
            </m:oMathPara>
          </w:p>
          <w:p w14:paraId="55186A41" w14:textId="77777777" w:rsidR="005B72E8" w:rsidRPr="009D2E20" w:rsidRDefault="005B72E8" w:rsidP="00420B14">
            <w:pPr>
              <w:pStyle w:val="Prrafodelista"/>
              <w:tabs>
                <w:tab w:val="left" w:pos="284"/>
              </w:tabs>
              <w:spacing w:after="0" w:line="240" w:lineRule="auto"/>
              <w:ind w:left="0"/>
              <w:jc w:val="center"/>
              <w:rPr>
                <w:rFonts w:ascii="Arial" w:hAnsi="Arial" w:cs="Arial"/>
                <w:i/>
                <w:sz w:val="15"/>
                <w:szCs w:val="15"/>
                <w:lang w:val="es-ES_tradnl"/>
              </w:rPr>
            </w:pPr>
            <w:r w:rsidRPr="009D2E20">
              <w:rPr>
                <w:rFonts w:ascii="Arial" w:hAnsi="Arial" w:cs="Arial"/>
                <w:i/>
                <w:sz w:val="15"/>
                <w:szCs w:val="15"/>
                <w:lang w:val="es-ES_tradnl"/>
              </w:rPr>
              <w:t>donde año j= 2013 y 2014</w:t>
            </w:r>
          </w:p>
          <w:p w14:paraId="24B12704" w14:textId="77777777" w:rsidR="005B72E8" w:rsidRPr="009D2E20" w:rsidRDefault="005B72E8" w:rsidP="00420B14">
            <w:pPr>
              <w:suppressAutoHyphens w:val="0"/>
              <w:spacing w:after="0" w:line="240" w:lineRule="auto"/>
              <w:jc w:val="center"/>
              <w:rPr>
                <w:rFonts w:ascii="Arial" w:eastAsia="Times New Roman" w:hAnsi="Arial" w:cs="Arial"/>
                <w:sz w:val="15"/>
                <w:szCs w:val="15"/>
                <w:lang w:val="es-ES_tradnl" w:eastAsia="es-CO"/>
              </w:rPr>
            </w:pPr>
          </w:p>
          <w:p w14:paraId="3B329168" w14:textId="77777777" w:rsidR="005B72E8" w:rsidRPr="00F7314C" w:rsidRDefault="005B72E8" w:rsidP="00420B14">
            <w:pPr>
              <w:suppressAutoHyphens w:val="0"/>
              <w:spacing w:after="0" w:line="240" w:lineRule="auto"/>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 xml:space="preserve">Luego, </w:t>
            </w:r>
          </w:p>
          <w:p w14:paraId="1E010B2A" w14:textId="77777777" w:rsidR="005B72E8" w:rsidRPr="009D2E20" w:rsidRDefault="005B72E8" w:rsidP="00420B14">
            <w:pPr>
              <w:suppressAutoHyphens w:val="0"/>
              <w:spacing w:after="0" w:line="240" w:lineRule="auto"/>
              <w:jc w:val="center"/>
              <w:rPr>
                <w:rFonts w:ascii="Arial" w:eastAsia="Times New Roman" w:hAnsi="Arial" w:cs="Arial"/>
                <w:sz w:val="15"/>
                <w:szCs w:val="15"/>
                <w:lang w:val="es-CO" w:eastAsia="es-CO"/>
              </w:rPr>
            </w:pPr>
            <w:r w:rsidRPr="009D2E20">
              <w:rPr>
                <w:rFonts w:ascii="Arial" w:eastAsia="Times New Roman" w:hAnsi="Arial" w:cs="Arial"/>
                <w:i/>
                <w:sz w:val="15"/>
                <w:szCs w:val="15"/>
                <w:lang w:val="es-CO" w:eastAsia="es-CO"/>
              </w:rPr>
              <w:t>Promedio (Suscriptores industriales y comerciales</w:t>
            </w:r>
            <w:r w:rsidRPr="009D2E20">
              <w:rPr>
                <w:rFonts w:ascii="Arial" w:eastAsia="Times New Roman" w:hAnsi="Arial" w:cs="Arial"/>
                <w:i/>
                <w:sz w:val="15"/>
                <w:szCs w:val="15"/>
                <w:vertAlign w:val="subscript"/>
                <w:lang w:val="es-CO" w:eastAsia="es-CO"/>
              </w:rPr>
              <w:t>2013</w:t>
            </w:r>
            <w:r w:rsidRPr="009D2E20">
              <w:rPr>
                <w:rFonts w:ascii="Arial" w:eastAsia="Times New Roman" w:hAnsi="Arial" w:cs="Arial"/>
                <w:i/>
                <w:sz w:val="15"/>
                <w:szCs w:val="15"/>
                <w:lang w:val="es-CO" w:eastAsia="es-CO"/>
              </w:rPr>
              <w:t>, Suscriptores industriales y comerciales</w:t>
            </w:r>
            <w:r w:rsidRPr="009D2E20">
              <w:rPr>
                <w:rFonts w:ascii="Arial" w:eastAsia="Times New Roman" w:hAnsi="Arial" w:cs="Arial"/>
                <w:i/>
                <w:sz w:val="15"/>
                <w:szCs w:val="15"/>
                <w:vertAlign w:val="subscript"/>
                <w:lang w:val="es-CO" w:eastAsia="es-CO"/>
              </w:rPr>
              <w:t>2014</w:t>
            </w:r>
            <w:r w:rsidRPr="009D2E20">
              <w:rPr>
                <w:rFonts w:ascii="Arial" w:eastAsia="Times New Roman" w:hAnsi="Arial" w:cs="Arial"/>
                <w:i/>
                <w:sz w:val="15"/>
                <w:szCs w:val="15"/>
                <w:lang w:val="es-CO" w:eastAsia="es-CO"/>
              </w:rPr>
              <w:t>)</w:t>
            </w:r>
          </w:p>
          <w:p w14:paraId="29160F91" w14:textId="77777777" w:rsidR="005B72E8" w:rsidRPr="00F7314C" w:rsidRDefault="005B72E8" w:rsidP="00420B14">
            <w:pPr>
              <w:suppressAutoHyphens w:val="0"/>
              <w:spacing w:after="0" w:line="240" w:lineRule="auto"/>
              <w:jc w:val="center"/>
              <w:rPr>
                <w:rFonts w:ascii="Arial" w:eastAsia="Times New Roman" w:hAnsi="Arial" w:cs="Arial"/>
                <w:sz w:val="16"/>
                <w:szCs w:val="16"/>
                <w:lang w:val="es-CO" w:eastAsia="es-CO"/>
              </w:rPr>
            </w:pPr>
          </w:p>
        </w:tc>
      </w:tr>
    </w:tbl>
    <w:p w14:paraId="55270376" w14:textId="77777777" w:rsidR="005B72E8" w:rsidRPr="00F7314C" w:rsidRDefault="005B72E8" w:rsidP="00420B14">
      <w:pPr>
        <w:spacing w:after="0" w:line="240" w:lineRule="auto"/>
        <w:ind w:left="1068"/>
        <w:jc w:val="center"/>
        <w:rPr>
          <w:rFonts w:ascii="Arial" w:hAnsi="Arial" w:cs="Arial"/>
          <w:sz w:val="20"/>
          <w:szCs w:val="20"/>
        </w:rPr>
      </w:pPr>
      <w:r w:rsidRPr="00F7314C">
        <w:rPr>
          <w:rFonts w:ascii="Arial" w:hAnsi="Arial" w:cs="Arial"/>
          <w:sz w:val="20"/>
          <w:szCs w:val="20"/>
        </w:rPr>
        <w:t>Fuente: CRA</w:t>
      </w:r>
    </w:p>
    <w:p w14:paraId="54BCA088" w14:textId="77777777" w:rsidR="0080660A" w:rsidRDefault="0080660A" w:rsidP="00420B14">
      <w:pPr>
        <w:spacing w:after="0" w:line="240" w:lineRule="auto"/>
        <w:jc w:val="both"/>
        <w:rPr>
          <w:rFonts w:ascii="Arial" w:hAnsi="Arial" w:cs="Arial"/>
          <w:sz w:val="20"/>
          <w:szCs w:val="20"/>
          <w:lang w:val="es-MX"/>
        </w:rPr>
      </w:pPr>
    </w:p>
    <w:p w14:paraId="63675300" w14:textId="77777777" w:rsidR="008C1E16" w:rsidRPr="00F7314C" w:rsidRDefault="008C1E16" w:rsidP="00420B14">
      <w:pPr>
        <w:spacing w:after="0" w:line="240" w:lineRule="auto"/>
        <w:jc w:val="both"/>
        <w:rPr>
          <w:rFonts w:ascii="Arial" w:hAnsi="Arial" w:cs="Arial"/>
          <w:sz w:val="20"/>
          <w:szCs w:val="20"/>
          <w:lang w:val="es-MX"/>
        </w:rPr>
      </w:pPr>
      <w:r w:rsidRPr="00F7314C">
        <w:rPr>
          <w:rFonts w:ascii="Arial" w:hAnsi="Arial" w:cs="Arial"/>
          <w:sz w:val="20"/>
          <w:szCs w:val="20"/>
          <w:lang w:val="es-MX"/>
        </w:rPr>
        <w:t xml:space="preserve">En la tabla </w:t>
      </w:r>
      <w:r w:rsidR="00714712">
        <w:rPr>
          <w:rFonts w:ascii="Arial" w:hAnsi="Arial" w:cs="Arial"/>
          <w:sz w:val="20"/>
          <w:szCs w:val="20"/>
          <w:lang w:val="es-MX"/>
        </w:rPr>
        <w:t>5</w:t>
      </w:r>
      <w:r w:rsidRPr="00F7314C">
        <w:rPr>
          <w:rFonts w:ascii="Arial" w:hAnsi="Arial" w:cs="Arial"/>
          <w:sz w:val="20"/>
          <w:szCs w:val="20"/>
          <w:lang w:val="es-MX"/>
        </w:rPr>
        <w:t xml:space="preserve">, se realiza una descripción de las variables operativas que hacen parte del modelo para el cálculo del puntaje DEA, donde se incluye el tipo de variable, la unidad en la que está expresada y la fórmula de cálculo de cada una de las variables: </w:t>
      </w:r>
    </w:p>
    <w:p w14:paraId="0DE81FCA" w14:textId="77777777" w:rsidR="008C1E16" w:rsidRPr="00F7314C" w:rsidRDefault="008C1E16" w:rsidP="00420B14">
      <w:pPr>
        <w:spacing w:after="0" w:line="240" w:lineRule="auto"/>
        <w:jc w:val="both"/>
        <w:rPr>
          <w:rFonts w:ascii="Arial" w:hAnsi="Arial" w:cs="Arial"/>
          <w:sz w:val="20"/>
          <w:szCs w:val="20"/>
          <w:lang w:val="es-MX"/>
        </w:rPr>
      </w:pPr>
    </w:p>
    <w:p w14:paraId="1D18345E" w14:textId="438BD48A" w:rsidR="008C1E16" w:rsidRPr="00F7314C" w:rsidRDefault="008C1E16" w:rsidP="00420B14">
      <w:pPr>
        <w:pStyle w:val="Epgrafe1"/>
        <w:spacing w:after="0" w:line="240" w:lineRule="auto"/>
        <w:jc w:val="center"/>
        <w:rPr>
          <w:rFonts w:ascii="Arial" w:hAnsi="Arial" w:cs="Arial"/>
          <w:lang w:val="es-MX"/>
        </w:rPr>
      </w:pPr>
      <w:bookmarkStart w:id="20" w:name="_Toc492664385"/>
      <w:bookmarkStart w:id="21" w:name="_Toc506988568"/>
      <w:r w:rsidRPr="00F7314C">
        <w:rPr>
          <w:rFonts w:ascii="Arial" w:hAnsi="Arial" w:cs="Arial"/>
        </w:rPr>
        <w:t xml:space="preserve">Tabla </w:t>
      </w:r>
      <w:r w:rsidRPr="00F7314C">
        <w:rPr>
          <w:rFonts w:ascii="Arial" w:hAnsi="Arial" w:cs="Arial"/>
        </w:rPr>
        <w:fldChar w:fldCharType="begin"/>
      </w:r>
      <w:r w:rsidRPr="00F7314C">
        <w:rPr>
          <w:rFonts w:ascii="Arial" w:hAnsi="Arial" w:cs="Arial"/>
        </w:rPr>
        <w:instrText xml:space="preserve"> SEQ Tabla \* ARABIC </w:instrText>
      </w:r>
      <w:r w:rsidRPr="00F7314C">
        <w:rPr>
          <w:rFonts w:ascii="Arial" w:hAnsi="Arial" w:cs="Arial"/>
        </w:rPr>
        <w:fldChar w:fldCharType="separate"/>
      </w:r>
      <w:r w:rsidR="004C0CEB">
        <w:rPr>
          <w:rFonts w:ascii="Arial" w:hAnsi="Arial" w:cs="Arial"/>
          <w:noProof/>
        </w:rPr>
        <w:t>5</w:t>
      </w:r>
      <w:r w:rsidRPr="00F7314C">
        <w:rPr>
          <w:rFonts w:ascii="Arial" w:hAnsi="Arial" w:cs="Arial"/>
        </w:rPr>
        <w:fldChar w:fldCharType="end"/>
      </w:r>
      <w:r w:rsidRPr="00F7314C">
        <w:rPr>
          <w:rFonts w:ascii="Arial" w:hAnsi="Arial" w:cs="Arial"/>
        </w:rPr>
        <w:t>. Variables Operativas</w:t>
      </w:r>
      <w:bookmarkEnd w:id="20"/>
      <w:bookmarkEnd w:id="21"/>
    </w:p>
    <w:tbl>
      <w:tblPr>
        <w:tblW w:w="1058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413"/>
        <w:gridCol w:w="1134"/>
        <w:gridCol w:w="1701"/>
        <w:gridCol w:w="6332"/>
      </w:tblGrid>
      <w:tr w:rsidR="008C1E16" w:rsidRPr="00FF7E3D" w14:paraId="5C56CD08" w14:textId="77777777" w:rsidTr="008C1E16">
        <w:trPr>
          <w:trHeight w:val="300"/>
          <w:tblHeader/>
        </w:trPr>
        <w:tc>
          <w:tcPr>
            <w:tcW w:w="1413" w:type="dxa"/>
            <w:tcBorders>
              <w:bottom w:val="single" w:sz="12" w:space="0" w:color="9CC2E5"/>
            </w:tcBorders>
            <w:shd w:val="clear" w:color="auto" w:fill="auto"/>
            <w:noWrap/>
            <w:vAlign w:val="center"/>
            <w:hideMark/>
          </w:tcPr>
          <w:p w14:paraId="449DC587" w14:textId="77777777" w:rsidR="008C1E16" w:rsidRPr="00F7314C" w:rsidRDefault="008C1E16"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Variable</w:t>
            </w:r>
          </w:p>
        </w:tc>
        <w:tc>
          <w:tcPr>
            <w:tcW w:w="1134" w:type="dxa"/>
            <w:tcBorders>
              <w:bottom w:val="single" w:sz="12" w:space="0" w:color="9CC2E5"/>
            </w:tcBorders>
            <w:shd w:val="clear" w:color="auto" w:fill="auto"/>
            <w:noWrap/>
            <w:vAlign w:val="center"/>
            <w:hideMark/>
          </w:tcPr>
          <w:p w14:paraId="73AF9B8A" w14:textId="77777777" w:rsidR="008C1E16" w:rsidRPr="00F7314C" w:rsidRDefault="008C1E16"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Tipo</w:t>
            </w:r>
          </w:p>
        </w:tc>
        <w:tc>
          <w:tcPr>
            <w:tcW w:w="1701" w:type="dxa"/>
            <w:tcBorders>
              <w:bottom w:val="single" w:sz="12" w:space="0" w:color="9CC2E5"/>
            </w:tcBorders>
            <w:shd w:val="clear" w:color="auto" w:fill="auto"/>
            <w:vAlign w:val="center"/>
          </w:tcPr>
          <w:p w14:paraId="32EEF29F" w14:textId="77777777" w:rsidR="008C1E16" w:rsidRPr="00F7314C" w:rsidRDefault="008C1E16"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Unidad</w:t>
            </w:r>
          </w:p>
        </w:tc>
        <w:tc>
          <w:tcPr>
            <w:tcW w:w="6332" w:type="dxa"/>
            <w:tcBorders>
              <w:bottom w:val="single" w:sz="12" w:space="0" w:color="9CC2E5"/>
            </w:tcBorders>
            <w:vAlign w:val="center"/>
          </w:tcPr>
          <w:p w14:paraId="13DE9069" w14:textId="77777777" w:rsidR="008C1E16" w:rsidRPr="00F7314C" w:rsidRDefault="008C1E16"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Fórmula</w:t>
            </w:r>
          </w:p>
        </w:tc>
      </w:tr>
      <w:tr w:rsidR="008C1E16" w:rsidRPr="00F7314C" w14:paraId="4AF6E775" w14:textId="77777777" w:rsidTr="008C1E16">
        <w:trPr>
          <w:trHeight w:val="300"/>
        </w:trPr>
        <w:tc>
          <w:tcPr>
            <w:tcW w:w="1413" w:type="dxa"/>
            <w:shd w:val="clear" w:color="auto" w:fill="DEEAF6"/>
            <w:noWrap/>
            <w:vAlign w:val="center"/>
            <w:hideMark/>
          </w:tcPr>
          <w:p w14:paraId="0904914A" w14:textId="77777777" w:rsidR="008C1E16" w:rsidRPr="00F7314C" w:rsidRDefault="008C1E16"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Costos Operativos</w:t>
            </w:r>
          </w:p>
        </w:tc>
        <w:tc>
          <w:tcPr>
            <w:tcW w:w="1134" w:type="dxa"/>
            <w:shd w:val="clear" w:color="auto" w:fill="DEEAF6"/>
            <w:noWrap/>
            <w:vAlign w:val="center"/>
            <w:hideMark/>
          </w:tcPr>
          <w:p w14:paraId="0F466E25"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Insumo Controlable</w:t>
            </w:r>
          </w:p>
        </w:tc>
        <w:tc>
          <w:tcPr>
            <w:tcW w:w="1701" w:type="dxa"/>
            <w:shd w:val="clear" w:color="auto" w:fill="DEEAF6"/>
            <w:vAlign w:val="center"/>
          </w:tcPr>
          <w:p w14:paraId="1BFC4601"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hAnsi="Arial" w:cs="Arial"/>
                <w:sz w:val="16"/>
                <w:szCs w:val="16"/>
              </w:rPr>
              <w:t>Expresados en pesos de diciembre del año base (2014)</w:t>
            </w:r>
          </w:p>
        </w:tc>
        <w:tc>
          <w:tcPr>
            <w:tcW w:w="6332" w:type="dxa"/>
            <w:shd w:val="clear" w:color="auto" w:fill="DEEAF6"/>
            <w:vAlign w:val="center"/>
          </w:tcPr>
          <w:p w14:paraId="38164F8F" w14:textId="77777777" w:rsidR="008C1E16" w:rsidRPr="00F7314C" w:rsidRDefault="008C1E16" w:rsidP="00420B14">
            <w:pPr>
              <w:suppressAutoHyphens w:val="0"/>
              <w:spacing w:after="0" w:line="240" w:lineRule="auto"/>
              <w:jc w:val="center"/>
              <w:rPr>
                <w:rFonts w:ascii="Arial" w:hAnsi="Arial" w:cs="Arial"/>
                <w:sz w:val="16"/>
                <w:szCs w:val="16"/>
              </w:rPr>
            </w:pPr>
            <w:r w:rsidRPr="00F7314C">
              <w:rPr>
                <w:rFonts w:ascii="Arial" w:hAnsi="Arial" w:cs="Arial"/>
                <w:sz w:val="16"/>
                <w:szCs w:val="16"/>
                <w:lang w:val="es-ES_tradnl"/>
              </w:rPr>
              <w:t>Registro contable de la empresa.</w:t>
            </w:r>
          </w:p>
        </w:tc>
      </w:tr>
      <w:tr w:rsidR="008C1E16" w:rsidRPr="00F7314C" w14:paraId="50D797F8" w14:textId="77777777" w:rsidTr="008C1E16">
        <w:trPr>
          <w:trHeight w:val="925"/>
        </w:trPr>
        <w:tc>
          <w:tcPr>
            <w:tcW w:w="1413" w:type="dxa"/>
            <w:shd w:val="clear" w:color="auto" w:fill="auto"/>
            <w:noWrap/>
            <w:vAlign w:val="center"/>
            <w:hideMark/>
          </w:tcPr>
          <w:p w14:paraId="7D1A4A6B" w14:textId="77777777" w:rsidR="008C1E16" w:rsidRPr="00F7314C" w:rsidRDefault="008C1E16"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m</w:t>
            </w:r>
            <w:r w:rsidRPr="00F7314C">
              <w:rPr>
                <w:rFonts w:ascii="Arial" w:eastAsia="Times New Roman" w:hAnsi="Arial" w:cs="Arial"/>
                <w:b/>
                <w:bCs/>
                <w:sz w:val="16"/>
                <w:szCs w:val="16"/>
                <w:vertAlign w:val="superscript"/>
                <w:lang w:val="es-CO" w:eastAsia="es-CO"/>
              </w:rPr>
              <w:t xml:space="preserve">3 </w:t>
            </w:r>
            <w:r w:rsidRPr="00F7314C">
              <w:rPr>
                <w:rFonts w:ascii="Arial" w:eastAsia="Times New Roman" w:hAnsi="Arial" w:cs="Arial"/>
                <w:b/>
                <w:bCs/>
                <w:sz w:val="16"/>
                <w:szCs w:val="16"/>
                <w:lang w:val="es-CO" w:eastAsia="es-CO"/>
              </w:rPr>
              <w:t>Facturados</w:t>
            </w:r>
          </w:p>
        </w:tc>
        <w:tc>
          <w:tcPr>
            <w:tcW w:w="1134" w:type="dxa"/>
            <w:shd w:val="clear" w:color="auto" w:fill="auto"/>
            <w:noWrap/>
            <w:vAlign w:val="center"/>
            <w:hideMark/>
          </w:tcPr>
          <w:p w14:paraId="74A5DFAE"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Producto</w:t>
            </w:r>
          </w:p>
        </w:tc>
        <w:tc>
          <w:tcPr>
            <w:tcW w:w="1701" w:type="dxa"/>
            <w:shd w:val="clear" w:color="auto" w:fill="auto"/>
            <w:vAlign w:val="center"/>
          </w:tcPr>
          <w:p w14:paraId="1A831D4F"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m</w:t>
            </w:r>
            <w:r w:rsidRPr="00FD0FD7">
              <w:rPr>
                <w:rFonts w:ascii="Arial" w:eastAsia="Times New Roman" w:hAnsi="Arial" w:cs="Arial"/>
                <w:sz w:val="16"/>
                <w:szCs w:val="16"/>
                <w:vertAlign w:val="superscript"/>
                <w:lang w:val="es-CO" w:eastAsia="es-CO"/>
              </w:rPr>
              <w:t>3</w:t>
            </w:r>
            <w:r w:rsidRPr="00F7314C">
              <w:rPr>
                <w:rFonts w:ascii="Arial" w:eastAsia="Times New Roman" w:hAnsi="Arial" w:cs="Arial"/>
                <w:sz w:val="16"/>
                <w:szCs w:val="16"/>
                <w:lang w:val="es-CO" w:eastAsia="es-CO"/>
              </w:rPr>
              <w:t xml:space="preserve"> agua potable</w:t>
            </w:r>
          </w:p>
        </w:tc>
        <w:tc>
          <w:tcPr>
            <w:tcW w:w="6332" w:type="dxa"/>
            <w:vAlign w:val="center"/>
          </w:tcPr>
          <w:p w14:paraId="3308265C" w14:textId="77777777" w:rsidR="008C1E16" w:rsidRPr="00F7314C" w:rsidRDefault="008C1E16" w:rsidP="00420B14">
            <w:pPr>
              <w:pStyle w:val="Prrafodelista"/>
              <w:tabs>
                <w:tab w:val="left" w:pos="284"/>
              </w:tabs>
              <w:spacing w:after="0" w:line="240" w:lineRule="auto"/>
              <w:ind w:left="0"/>
              <w:jc w:val="center"/>
              <w:rPr>
                <w:rFonts w:ascii="Arial" w:eastAsia="Times New Roman" w:hAnsi="Arial" w:cs="Arial"/>
                <w:sz w:val="16"/>
                <w:szCs w:val="16"/>
                <w:lang w:val="es-ES_tradnl"/>
              </w:rPr>
            </w:pPr>
          </w:p>
          <w:p w14:paraId="5AB455E9" w14:textId="77777777" w:rsidR="008C1E16" w:rsidRPr="006838BB" w:rsidRDefault="00122B06" w:rsidP="00420B14">
            <w:pPr>
              <w:pStyle w:val="Prrafodelista"/>
              <w:tabs>
                <w:tab w:val="left" w:pos="284"/>
              </w:tabs>
              <w:spacing w:after="0" w:line="240" w:lineRule="auto"/>
              <w:ind w:left="0"/>
              <w:jc w:val="center"/>
              <w:rPr>
                <w:rFonts w:ascii="Arial" w:hAnsi="Arial" w:cs="Arial"/>
                <w:sz w:val="16"/>
                <w:szCs w:val="16"/>
                <w:lang w:val="es-ES_tradnl"/>
              </w:rPr>
            </w:pPr>
            <m:oMathPara>
              <m:oMath>
                <m:sSup>
                  <m:sSupPr>
                    <m:ctrlPr>
                      <w:rPr>
                        <w:rFonts w:ascii="Cambria Math" w:hAnsi="Cambria Math" w:cs="Arial"/>
                        <w:i/>
                        <w:sz w:val="16"/>
                        <w:szCs w:val="16"/>
                        <w:lang w:val="es-ES_tradnl"/>
                      </w:rPr>
                    </m:ctrlPr>
                  </m:sSupPr>
                  <m:e>
                    <m:r>
                      <w:rPr>
                        <w:rFonts w:ascii="Cambria Math" w:hAnsi="Cambria Math" w:cs="Arial"/>
                        <w:sz w:val="16"/>
                        <w:szCs w:val="16"/>
                        <w:lang w:val="es-ES_tradnl"/>
                      </w:rPr>
                      <m:t>m</m:t>
                    </m:r>
                  </m:e>
                  <m:sup>
                    <m:r>
                      <w:rPr>
                        <w:rFonts w:ascii="Cambria Math" w:hAnsi="Cambria Math" w:cs="Arial"/>
                        <w:sz w:val="16"/>
                        <w:szCs w:val="16"/>
                        <w:lang w:val="es-ES_tradnl"/>
                      </w:rPr>
                      <m:t>3</m:t>
                    </m:r>
                  </m:sup>
                </m:sSup>
                <m:r>
                  <w:rPr>
                    <w:rFonts w:ascii="Cambria Math" w:hAnsi="Cambria Math" w:cs="Arial"/>
                    <w:sz w:val="16"/>
                    <w:szCs w:val="16"/>
                    <w:lang w:val="es-ES_tradnl"/>
                  </w:rPr>
                  <m:t xml:space="preserve">facturados de acueducto año j= </m:t>
                </m:r>
                <m:nary>
                  <m:naryPr>
                    <m:chr m:val="∑"/>
                    <m:limLoc m:val="undOvr"/>
                    <m:ctrlPr>
                      <w:rPr>
                        <w:rFonts w:ascii="Cambria Math" w:hAnsi="Cambria Math" w:cs="Arial"/>
                        <w:i/>
                        <w:sz w:val="16"/>
                        <w:szCs w:val="16"/>
                        <w:lang w:val="es-ES_tradnl"/>
                      </w:rPr>
                    </m:ctrlPr>
                  </m:naryPr>
                  <m:sub>
                    <m:r>
                      <w:rPr>
                        <w:rFonts w:ascii="Cambria Math" w:hAnsi="Cambria Math" w:cs="Arial"/>
                        <w:sz w:val="16"/>
                        <w:szCs w:val="16"/>
                        <w:lang w:val="es-ES_tradnl"/>
                      </w:rPr>
                      <m:t>n=1</m:t>
                    </m:r>
                  </m:sub>
                  <m:sup>
                    <m:r>
                      <w:rPr>
                        <w:rFonts w:ascii="Cambria Math" w:hAnsi="Cambria Math" w:cs="Arial"/>
                        <w:sz w:val="16"/>
                        <w:szCs w:val="16"/>
                        <w:lang w:val="es-ES_tradnl"/>
                      </w:rPr>
                      <m:t>12</m:t>
                    </m:r>
                  </m:sup>
                  <m:e>
                    <m:sSup>
                      <m:sSupPr>
                        <m:ctrlPr>
                          <w:rPr>
                            <w:rFonts w:ascii="Cambria Math" w:hAnsi="Cambria Math" w:cs="Arial"/>
                            <w:i/>
                            <w:sz w:val="16"/>
                            <w:szCs w:val="16"/>
                            <w:lang w:val="es-ES_tradnl"/>
                          </w:rPr>
                        </m:ctrlPr>
                      </m:sSupPr>
                      <m:e>
                        <m:r>
                          <w:rPr>
                            <w:rFonts w:ascii="Cambria Math" w:hAnsi="Cambria Math" w:cs="Arial"/>
                            <w:sz w:val="16"/>
                            <w:szCs w:val="16"/>
                            <w:lang w:val="es-ES_tradnl"/>
                          </w:rPr>
                          <m:t>m</m:t>
                        </m:r>
                      </m:e>
                      <m:sup>
                        <m:r>
                          <w:rPr>
                            <w:rFonts w:ascii="Cambria Math" w:hAnsi="Cambria Math" w:cs="Arial"/>
                            <w:sz w:val="16"/>
                            <w:szCs w:val="16"/>
                            <w:lang w:val="es-ES_tradnl"/>
                          </w:rPr>
                          <m:t>3</m:t>
                        </m:r>
                      </m:sup>
                    </m:sSup>
                    <m:r>
                      <w:rPr>
                        <w:rFonts w:ascii="Cambria Math" w:hAnsi="Cambria Math" w:cs="Arial"/>
                        <w:sz w:val="16"/>
                        <w:szCs w:val="16"/>
                        <w:lang w:val="es-ES_tradnl"/>
                      </w:rPr>
                      <m:t>facturados de acueducto</m:t>
                    </m:r>
                  </m:e>
                </m:nary>
                <m:r>
                  <w:rPr>
                    <w:rFonts w:ascii="Cambria Math" w:hAnsi="Cambria Math" w:cs="Arial"/>
                    <w:sz w:val="16"/>
                    <w:szCs w:val="16"/>
                    <w:lang w:val="es-ES_tradnl"/>
                  </w:rPr>
                  <m:t xml:space="preserve"> al mes</m:t>
                </m:r>
              </m:oMath>
            </m:oMathPara>
          </w:p>
          <w:p w14:paraId="5350B837" w14:textId="77777777" w:rsidR="008C1E16" w:rsidRPr="00F7314C" w:rsidRDefault="008C1E16" w:rsidP="00420B14">
            <w:pPr>
              <w:pStyle w:val="Prrafodelista"/>
              <w:tabs>
                <w:tab w:val="left" w:pos="284"/>
              </w:tabs>
              <w:spacing w:after="0" w:line="240" w:lineRule="auto"/>
              <w:ind w:left="0"/>
              <w:jc w:val="center"/>
              <w:rPr>
                <w:rFonts w:ascii="Arial" w:hAnsi="Arial" w:cs="Arial"/>
                <w:i/>
                <w:sz w:val="16"/>
                <w:szCs w:val="16"/>
                <w:lang w:val="es-ES_tradnl"/>
              </w:rPr>
            </w:pPr>
          </w:p>
          <w:p w14:paraId="5AB7F763" w14:textId="77777777" w:rsidR="008C1E16" w:rsidRPr="00F7314C" w:rsidRDefault="008C1E16" w:rsidP="00420B14">
            <w:pPr>
              <w:pStyle w:val="Prrafodelista"/>
              <w:tabs>
                <w:tab w:val="left" w:pos="284"/>
              </w:tabs>
              <w:spacing w:after="0" w:line="240" w:lineRule="auto"/>
              <w:ind w:left="0"/>
              <w:jc w:val="center"/>
              <w:rPr>
                <w:rFonts w:ascii="Arial" w:hAnsi="Arial" w:cs="Arial"/>
                <w:i/>
                <w:sz w:val="16"/>
                <w:szCs w:val="16"/>
                <w:lang w:val="es-ES_tradnl"/>
              </w:rPr>
            </w:pPr>
            <w:r w:rsidRPr="00F7314C">
              <w:rPr>
                <w:rFonts w:ascii="Arial" w:hAnsi="Arial" w:cs="Arial"/>
                <w:i/>
                <w:sz w:val="16"/>
                <w:szCs w:val="16"/>
                <w:lang w:val="es-ES_tradnl"/>
              </w:rPr>
              <w:t>donde año j= 2013 y 2014</w:t>
            </w:r>
          </w:p>
          <w:p w14:paraId="5E9A6FE6"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p>
          <w:p w14:paraId="65C3A9B6" w14:textId="77777777" w:rsidR="008C1E16" w:rsidRPr="00F7314C" w:rsidRDefault="008C1E16" w:rsidP="00420B14">
            <w:pPr>
              <w:suppressAutoHyphens w:val="0"/>
              <w:spacing w:after="0" w:line="240" w:lineRule="auto"/>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 xml:space="preserve">Luego, </w:t>
            </w:r>
          </w:p>
          <w:p w14:paraId="1E529F2F" w14:textId="77777777" w:rsidR="008C1E16" w:rsidRPr="00F7314C" w:rsidRDefault="008C1E16" w:rsidP="00420B14">
            <w:pPr>
              <w:suppressAutoHyphens w:val="0"/>
              <w:spacing w:after="0" w:line="240" w:lineRule="auto"/>
              <w:rPr>
                <w:rFonts w:ascii="Arial" w:eastAsia="Times New Roman" w:hAnsi="Arial" w:cs="Arial"/>
                <w:sz w:val="16"/>
                <w:szCs w:val="16"/>
                <w:lang w:val="es-CO" w:eastAsia="es-CO"/>
              </w:rPr>
            </w:pPr>
          </w:p>
          <w:p w14:paraId="62B18F69" w14:textId="77777777" w:rsidR="008C1E16" w:rsidRPr="00F7314C" w:rsidRDefault="008C1E16" w:rsidP="00420B14">
            <w:pPr>
              <w:suppressAutoHyphens w:val="0"/>
              <w:spacing w:after="0" w:line="240" w:lineRule="auto"/>
              <w:rPr>
                <w:rFonts w:ascii="Arial" w:eastAsia="Times New Roman" w:hAnsi="Arial" w:cs="Arial"/>
                <w:i/>
                <w:sz w:val="16"/>
                <w:szCs w:val="16"/>
                <w:lang w:val="es-CO" w:eastAsia="es-CO"/>
              </w:rPr>
            </w:pPr>
            <w:r w:rsidRPr="00F7314C">
              <w:rPr>
                <w:rFonts w:ascii="Arial" w:eastAsia="Times New Roman" w:hAnsi="Arial" w:cs="Arial"/>
                <w:i/>
                <w:sz w:val="16"/>
                <w:szCs w:val="16"/>
                <w:lang w:val="es-CO" w:eastAsia="es-CO"/>
              </w:rPr>
              <w:t>Promedio (m</w:t>
            </w:r>
            <w:r w:rsidRPr="00F7314C">
              <w:rPr>
                <w:rFonts w:ascii="Arial" w:eastAsia="Times New Roman" w:hAnsi="Arial" w:cs="Arial"/>
                <w:i/>
                <w:sz w:val="16"/>
                <w:szCs w:val="16"/>
                <w:vertAlign w:val="superscript"/>
                <w:lang w:val="es-CO" w:eastAsia="es-CO"/>
              </w:rPr>
              <w:t>3</w:t>
            </w:r>
            <w:r w:rsidRPr="00F7314C">
              <w:rPr>
                <w:rFonts w:ascii="Arial" w:eastAsia="Times New Roman" w:hAnsi="Arial" w:cs="Arial"/>
                <w:i/>
                <w:sz w:val="16"/>
                <w:szCs w:val="16"/>
                <w:lang w:val="es-CO" w:eastAsia="es-CO"/>
              </w:rPr>
              <w:t xml:space="preserve"> facturados de acueducto</w:t>
            </w:r>
            <w:r w:rsidRPr="00F7314C">
              <w:rPr>
                <w:rFonts w:ascii="Arial" w:eastAsia="Times New Roman" w:hAnsi="Arial" w:cs="Arial"/>
                <w:i/>
                <w:sz w:val="16"/>
                <w:szCs w:val="16"/>
                <w:vertAlign w:val="subscript"/>
                <w:lang w:val="es-CO" w:eastAsia="es-CO"/>
              </w:rPr>
              <w:t>2013</w:t>
            </w:r>
            <w:r w:rsidRPr="00F7314C">
              <w:rPr>
                <w:rFonts w:ascii="Arial" w:eastAsia="Times New Roman" w:hAnsi="Arial" w:cs="Arial"/>
                <w:i/>
                <w:sz w:val="16"/>
                <w:szCs w:val="16"/>
                <w:lang w:val="es-CO" w:eastAsia="es-CO"/>
              </w:rPr>
              <w:t xml:space="preserve"> ,m</w:t>
            </w:r>
            <w:r w:rsidRPr="00F7314C">
              <w:rPr>
                <w:rFonts w:ascii="Arial" w:eastAsia="Times New Roman" w:hAnsi="Arial" w:cs="Arial"/>
                <w:i/>
                <w:sz w:val="16"/>
                <w:szCs w:val="16"/>
                <w:vertAlign w:val="superscript"/>
                <w:lang w:val="es-CO" w:eastAsia="es-CO"/>
              </w:rPr>
              <w:t>3</w:t>
            </w:r>
            <w:r w:rsidRPr="00F7314C">
              <w:rPr>
                <w:rFonts w:ascii="Arial" w:eastAsia="Times New Roman" w:hAnsi="Arial" w:cs="Arial"/>
                <w:i/>
                <w:sz w:val="16"/>
                <w:szCs w:val="16"/>
                <w:lang w:val="es-CO" w:eastAsia="es-CO"/>
              </w:rPr>
              <w:t xml:space="preserve"> facturados de acueducto</w:t>
            </w:r>
            <w:r w:rsidRPr="00F7314C">
              <w:rPr>
                <w:rFonts w:ascii="Arial" w:eastAsia="Times New Roman" w:hAnsi="Arial" w:cs="Arial"/>
                <w:i/>
                <w:sz w:val="16"/>
                <w:szCs w:val="16"/>
                <w:vertAlign w:val="subscript"/>
                <w:lang w:val="es-CO" w:eastAsia="es-CO"/>
              </w:rPr>
              <w:t>2014</w:t>
            </w:r>
            <w:r w:rsidRPr="00F7314C">
              <w:rPr>
                <w:rFonts w:ascii="Arial" w:eastAsia="Times New Roman" w:hAnsi="Arial" w:cs="Arial"/>
                <w:i/>
                <w:sz w:val="16"/>
                <w:szCs w:val="16"/>
                <w:lang w:val="es-CO" w:eastAsia="es-CO"/>
              </w:rPr>
              <w:t xml:space="preserve">) </w:t>
            </w:r>
          </w:p>
        </w:tc>
      </w:tr>
      <w:tr w:rsidR="008C1E16" w:rsidRPr="00FF7E3D" w14:paraId="01EB0107" w14:textId="77777777" w:rsidTr="008C1E16">
        <w:trPr>
          <w:trHeight w:val="300"/>
        </w:trPr>
        <w:tc>
          <w:tcPr>
            <w:tcW w:w="1413" w:type="dxa"/>
            <w:shd w:val="clear" w:color="auto" w:fill="DEEAF6"/>
            <w:noWrap/>
            <w:vAlign w:val="center"/>
            <w:hideMark/>
          </w:tcPr>
          <w:p w14:paraId="79EDE35A" w14:textId="77777777" w:rsidR="008C1E16" w:rsidRPr="00F7314C" w:rsidRDefault="008C1E16" w:rsidP="00420B14">
            <w:pPr>
              <w:suppressAutoHyphens w:val="0"/>
              <w:spacing w:after="0" w:line="240" w:lineRule="auto"/>
              <w:jc w:val="center"/>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lastRenderedPageBreak/>
              <w:t>m</w:t>
            </w:r>
            <w:r w:rsidRPr="00F7314C">
              <w:rPr>
                <w:rFonts w:ascii="Arial" w:eastAsia="Times New Roman" w:hAnsi="Arial" w:cs="Arial"/>
                <w:b/>
                <w:bCs/>
                <w:sz w:val="16"/>
                <w:szCs w:val="16"/>
                <w:vertAlign w:val="superscript"/>
                <w:lang w:val="es-CO" w:eastAsia="es-CO"/>
              </w:rPr>
              <w:t>3</w:t>
            </w:r>
            <w:r w:rsidRPr="00F7314C">
              <w:rPr>
                <w:rFonts w:ascii="Arial" w:eastAsia="Times New Roman" w:hAnsi="Arial" w:cs="Arial"/>
                <w:b/>
                <w:bCs/>
                <w:sz w:val="16"/>
                <w:szCs w:val="16"/>
                <w:lang w:val="es-CO" w:eastAsia="es-CO"/>
              </w:rPr>
              <w:t xml:space="preserve"> Vertidos</w:t>
            </w:r>
          </w:p>
        </w:tc>
        <w:tc>
          <w:tcPr>
            <w:tcW w:w="1134" w:type="dxa"/>
            <w:shd w:val="clear" w:color="auto" w:fill="DEEAF6"/>
            <w:noWrap/>
            <w:vAlign w:val="center"/>
            <w:hideMark/>
          </w:tcPr>
          <w:p w14:paraId="3637E0DE"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Producto</w:t>
            </w:r>
          </w:p>
        </w:tc>
        <w:tc>
          <w:tcPr>
            <w:tcW w:w="1701" w:type="dxa"/>
            <w:shd w:val="clear" w:color="auto" w:fill="DEEAF6"/>
            <w:vAlign w:val="center"/>
          </w:tcPr>
          <w:p w14:paraId="18BA7127"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m</w:t>
            </w:r>
            <w:r w:rsidRPr="00FD0FD7">
              <w:rPr>
                <w:rFonts w:ascii="Arial" w:eastAsia="Times New Roman" w:hAnsi="Arial" w:cs="Arial"/>
                <w:sz w:val="16"/>
                <w:szCs w:val="16"/>
                <w:vertAlign w:val="superscript"/>
                <w:lang w:val="es-CO" w:eastAsia="es-CO"/>
              </w:rPr>
              <w:t>3</w:t>
            </w:r>
            <w:r w:rsidRPr="00F7314C">
              <w:rPr>
                <w:rFonts w:ascii="Arial" w:eastAsia="Times New Roman" w:hAnsi="Arial" w:cs="Arial"/>
                <w:sz w:val="16"/>
                <w:szCs w:val="16"/>
                <w:lang w:val="es-CO" w:eastAsia="es-CO"/>
              </w:rPr>
              <w:t xml:space="preserve"> vertidos</w:t>
            </w:r>
          </w:p>
        </w:tc>
        <w:tc>
          <w:tcPr>
            <w:tcW w:w="6332" w:type="dxa"/>
            <w:shd w:val="clear" w:color="auto" w:fill="DEEAF6"/>
            <w:vAlign w:val="center"/>
          </w:tcPr>
          <w:p w14:paraId="4393AA1A" w14:textId="77777777" w:rsidR="008C1E16" w:rsidRPr="00F7314C" w:rsidRDefault="008C1E16" w:rsidP="00420B14">
            <w:pPr>
              <w:pStyle w:val="Prrafodelista"/>
              <w:tabs>
                <w:tab w:val="left" w:pos="284"/>
              </w:tabs>
              <w:spacing w:after="0" w:line="240" w:lineRule="auto"/>
              <w:ind w:left="0"/>
              <w:jc w:val="center"/>
              <w:rPr>
                <w:rFonts w:ascii="Arial" w:hAnsi="Arial" w:cs="Arial"/>
                <w:sz w:val="16"/>
                <w:szCs w:val="16"/>
                <w:lang w:val="es-ES_tradnl"/>
              </w:rPr>
            </w:pPr>
          </w:p>
          <w:p w14:paraId="12F1857C" w14:textId="77777777" w:rsidR="008C1E16" w:rsidRPr="006838BB" w:rsidRDefault="00122B06" w:rsidP="00420B14">
            <w:pPr>
              <w:pStyle w:val="Prrafodelista"/>
              <w:tabs>
                <w:tab w:val="left" w:pos="284"/>
              </w:tabs>
              <w:spacing w:after="0" w:line="240" w:lineRule="auto"/>
              <w:ind w:left="0"/>
              <w:jc w:val="center"/>
              <w:rPr>
                <w:rFonts w:ascii="Arial" w:hAnsi="Arial" w:cs="Arial"/>
                <w:iCs/>
                <w:sz w:val="16"/>
                <w:szCs w:val="16"/>
              </w:rPr>
            </w:pPr>
            <m:oMathPara>
              <m:oMathParaPr>
                <m:jc m:val="center"/>
              </m:oMathParaPr>
              <m:oMath>
                <m:sSup>
                  <m:sSupPr>
                    <m:ctrlPr>
                      <w:rPr>
                        <w:rFonts w:ascii="Cambria Math" w:hAnsi="Cambria Math" w:cs="Arial"/>
                        <w:i/>
                        <w:iCs/>
                        <w:sz w:val="16"/>
                        <w:szCs w:val="16"/>
                        <w:lang w:val="es-CO"/>
                      </w:rPr>
                    </m:ctrlPr>
                  </m:sSupPr>
                  <m:e>
                    <m:r>
                      <w:rPr>
                        <w:rFonts w:ascii="Cambria Math" w:hAnsi="Cambria Math" w:cs="Arial"/>
                        <w:sz w:val="16"/>
                        <w:szCs w:val="16"/>
                        <w:lang w:val="es-ES_tradnl"/>
                      </w:rPr>
                      <m:t>m</m:t>
                    </m:r>
                  </m:e>
                  <m:sup>
                    <m:r>
                      <w:rPr>
                        <w:rFonts w:ascii="Cambria Math" w:hAnsi="Cambria Math" w:cs="Arial"/>
                        <w:sz w:val="16"/>
                        <w:szCs w:val="16"/>
                        <w:lang w:val="es-ES_tradnl"/>
                      </w:rPr>
                      <m:t>3</m:t>
                    </m:r>
                  </m:sup>
                </m:sSup>
                <m:r>
                  <w:rPr>
                    <w:rFonts w:ascii="Cambria Math" w:hAnsi="Cambria Math" w:cs="Arial"/>
                    <w:sz w:val="16"/>
                    <w:szCs w:val="16"/>
                    <w:lang w:val="es-ES_tradnl"/>
                  </w:rPr>
                  <m:t>vertidos año j=</m:t>
                </m:r>
                <m:nary>
                  <m:naryPr>
                    <m:chr m:val="∑"/>
                    <m:limLoc m:val="undOvr"/>
                    <m:ctrlPr>
                      <w:rPr>
                        <w:rFonts w:ascii="Cambria Math" w:hAnsi="Cambria Math" w:cs="Arial"/>
                        <w:i/>
                        <w:iCs/>
                        <w:sz w:val="16"/>
                        <w:szCs w:val="16"/>
                      </w:rPr>
                    </m:ctrlPr>
                  </m:naryPr>
                  <m:sub>
                    <m:r>
                      <w:rPr>
                        <w:rFonts w:ascii="Cambria Math" w:hAnsi="Cambria Math" w:cs="Arial"/>
                        <w:sz w:val="16"/>
                        <w:szCs w:val="16"/>
                        <w:lang w:val="es-ES_tradnl"/>
                      </w:rPr>
                      <m:t>n=1</m:t>
                    </m:r>
                  </m:sub>
                  <m:sup>
                    <m:r>
                      <w:rPr>
                        <w:rFonts w:ascii="Cambria Math" w:hAnsi="Cambria Math" w:cs="Arial"/>
                        <w:sz w:val="16"/>
                        <w:szCs w:val="16"/>
                        <w:lang w:val="es-ES_tradnl"/>
                      </w:rPr>
                      <m:t>12</m:t>
                    </m:r>
                  </m:sup>
                  <m:e>
                    <m:sSup>
                      <m:sSupPr>
                        <m:ctrlPr>
                          <w:rPr>
                            <w:rFonts w:ascii="Cambria Math" w:hAnsi="Cambria Math" w:cs="Arial"/>
                            <w:i/>
                            <w:iCs/>
                            <w:sz w:val="16"/>
                            <w:szCs w:val="16"/>
                          </w:rPr>
                        </m:ctrlPr>
                      </m:sSupPr>
                      <m:e>
                        <m:r>
                          <w:rPr>
                            <w:rFonts w:ascii="Cambria Math" w:hAnsi="Cambria Math" w:cs="Arial"/>
                            <w:sz w:val="16"/>
                            <w:szCs w:val="16"/>
                            <w:lang w:val="es-ES_tradnl"/>
                          </w:rPr>
                          <m:t>(m</m:t>
                        </m:r>
                      </m:e>
                      <m:sup>
                        <m:r>
                          <w:rPr>
                            <w:rFonts w:ascii="Cambria Math" w:hAnsi="Cambria Math" w:cs="Arial"/>
                            <w:sz w:val="16"/>
                            <w:szCs w:val="16"/>
                            <w:lang w:val="es-ES_tradnl"/>
                          </w:rPr>
                          <m:t>3</m:t>
                        </m:r>
                      </m:sup>
                    </m:sSup>
                    <m:r>
                      <w:rPr>
                        <w:rFonts w:ascii="Cambria Math" w:hAnsi="Cambria Math" w:cs="Arial"/>
                        <w:sz w:val="16"/>
                        <w:szCs w:val="16"/>
                        <w:lang w:val="es-ES_tradnl"/>
                      </w:rPr>
                      <m:t>facturados de alcantarillado+ </m:t>
                    </m:r>
                    <m:sSup>
                      <m:sSupPr>
                        <m:ctrlPr>
                          <w:rPr>
                            <w:rFonts w:ascii="Cambria Math" w:hAnsi="Cambria Math" w:cs="Arial"/>
                            <w:i/>
                            <w:iCs/>
                            <w:sz w:val="16"/>
                            <w:szCs w:val="16"/>
                          </w:rPr>
                        </m:ctrlPr>
                      </m:sSupPr>
                      <m:e>
                        <m:r>
                          <w:rPr>
                            <w:rFonts w:ascii="Cambria Math" w:hAnsi="Cambria Math" w:cs="Arial"/>
                            <w:sz w:val="16"/>
                            <w:szCs w:val="16"/>
                            <w:lang w:val="es-ES_tradnl"/>
                          </w:rPr>
                          <m:t>m</m:t>
                        </m:r>
                      </m:e>
                      <m:sup>
                        <m:r>
                          <w:rPr>
                            <w:rFonts w:ascii="Cambria Math" w:hAnsi="Cambria Math" w:cs="Arial"/>
                            <w:sz w:val="16"/>
                            <w:szCs w:val="16"/>
                            <w:lang w:val="es-ES_tradnl"/>
                          </w:rPr>
                          <m:t>3</m:t>
                        </m:r>
                      </m:sup>
                    </m:sSup>
                    <m:r>
                      <w:rPr>
                        <w:rFonts w:ascii="Cambria Math" w:hAnsi="Cambria Math" w:cs="Arial"/>
                        <w:sz w:val="16"/>
                        <w:szCs w:val="16"/>
                        <w:lang w:val="es-ES_tradnl"/>
                      </w:rPr>
                      <m:t> vertidos de fuentes alternas)</m:t>
                    </m:r>
                  </m:e>
                </m:nary>
              </m:oMath>
            </m:oMathPara>
          </w:p>
          <w:p w14:paraId="569A97F3" w14:textId="77777777" w:rsidR="008C1E16" w:rsidRPr="00F7314C" w:rsidRDefault="008C1E16" w:rsidP="00420B14">
            <w:pPr>
              <w:pStyle w:val="Prrafodelista"/>
              <w:tabs>
                <w:tab w:val="left" w:pos="284"/>
              </w:tabs>
              <w:spacing w:after="0" w:line="240" w:lineRule="auto"/>
              <w:ind w:left="0"/>
              <w:jc w:val="center"/>
              <w:rPr>
                <w:rFonts w:ascii="Arial" w:hAnsi="Arial" w:cs="Arial"/>
                <w:iCs/>
                <w:sz w:val="16"/>
                <w:szCs w:val="16"/>
              </w:rPr>
            </w:pPr>
          </w:p>
          <w:p w14:paraId="03C41E12" w14:textId="77777777" w:rsidR="008C1E16" w:rsidRPr="00F7314C" w:rsidRDefault="008C1E16" w:rsidP="00420B14">
            <w:pPr>
              <w:pStyle w:val="Prrafodelista"/>
              <w:tabs>
                <w:tab w:val="left" w:pos="284"/>
              </w:tabs>
              <w:spacing w:after="0" w:line="240" w:lineRule="auto"/>
              <w:ind w:left="0"/>
              <w:jc w:val="center"/>
              <w:rPr>
                <w:rFonts w:ascii="Arial" w:hAnsi="Arial" w:cs="Arial"/>
                <w:i/>
                <w:sz w:val="16"/>
                <w:szCs w:val="16"/>
                <w:lang w:val="es-ES_tradnl"/>
              </w:rPr>
            </w:pPr>
            <w:r w:rsidRPr="00F7314C">
              <w:rPr>
                <w:rFonts w:ascii="Arial" w:hAnsi="Arial" w:cs="Arial"/>
                <w:i/>
                <w:sz w:val="16"/>
                <w:szCs w:val="16"/>
                <w:lang w:val="es-ES_tradnl"/>
              </w:rPr>
              <w:t>donde año j= 2013 y 2014</w:t>
            </w:r>
          </w:p>
          <w:p w14:paraId="15C25562" w14:textId="77777777" w:rsidR="008C1E16" w:rsidRPr="00F7314C" w:rsidRDefault="008C1E16" w:rsidP="00420B14">
            <w:pPr>
              <w:suppressAutoHyphens w:val="0"/>
              <w:spacing w:after="0" w:line="240" w:lineRule="auto"/>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 xml:space="preserve">Luego, </w:t>
            </w:r>
          </w:p>
          <w:p w14:paraId="5B5256F5" w14:textId="77777777" w:rsidR="008C1E16" w:rsidRPr="00F7314C" w:rsidRDefault="008C1E16" w:rsidP="00420B14">
            <w:pPr>
              <w:pStyle w:val="Prrafodelista"/>
              <w:tabs>
                <w:tab w:val="left" w:pos="284"/>
              </w:tabs>
              <w:spacing w:after="0" w:line="240" w:lineRule="auto"/>
              <w:ind w:left="284"/>
              <w:jc w:val="center"/>
              <w:rPr>
                <w:rFonts w:ascii="Arial" w:hAnsi="Arial" w:cs="Arial"/>
                <w:iCs/>
                <w:sz w:val="16"/>
                <w:szCs w:val="16"/>
              </w:rPr>
            </w:pPr>
            <w:r w:rsidRPr="00F7314C">
              <w:rPr>
                <w:rFonts w:ascii="Arial" w:eastAsia="Times New Roman" w:hAnsi="Arial" w:cs="Arial"/>
                <w:i/>
                <w:sz w:val="16"/>
                <w:szCs w:val="16"/>
                <w:lang w:val="es-CO" w:eastAsia="es-CO"/>
              </w:rPr>
              <w:t>Promedio (m</w:t>
            </w:r>
            <w:r w:rsidRPr="00F7314C">
              <w:rPr>
                <w:rFonts w:ascii="Arial" w:eastAsia="Times New Roman" w:hAnsi="Arial" w:cs="Arial"/>
                <w:i/>
                <w:sz w:val="16"/>
                <w:szCs w:val="16"/>
                <w:vertAlign w:val="superscript"/>
                <w:lang w:val="es-CO" w:eastAsia="es-CO"/>
              </w:rPr>
              <w:t>3</w:t>
            </w:r>
            <w:r w:rsidRPr="00F7314C">
              <w:rPr>
                <w:rFonts w:ascii="Arial" w:eastAsia="Times New Roman" w:hAnsi="Arial" w:cs="Arial"/>
                <w:i/>
                <w:sz w:val="16"/>
                <w:szCs w:val="16"/>
                <w:lang w:val="es-CO" w:eastAsia="es-CO"/>
              </w:rPr>
              <w:t xml:space="preserve"> vertidos</w:t>
            </w:r>
            <w:r w:rsidRPr="00F7314C">
              <w:rPr>
                <w:rFonts w:ascii="Arial" w:eastAsia="Times New Roman" w:hAnsi="Arial" w:cs="Arial"/>
                <w:i/>
                <w:sz w:val="16"/>
                <w:szCs w:val="16"/>
                <w:vertAlign w:val="subscript"/>
                <w:lang w:val="es-CO" w:eastAsia="es-CO"/>
              </w:rPr>
              <w:t>2013</w:t>
            </w:r>
            <w:r w:rsidRPr="00F7314C">
              <w:rPr>
                <w:rFonts w:ascii="Arial" w:eastAsia="Times New Roman" w:hAnsi="Arial" w:cs="Arial"/>
                <w:i/>
                <w:sz w:val="16"/>
                <w:szCs w:val="16"/>
                <w:lang w:val="es-CO" w:eastAsia="es-CO"/>
              </w:rPr>
              <w:t>, m</w:t>
            </w:r>
            <w:r w:rsidRPr="00F7314C">
              <w:rPr>
                <w:rFonts w:ascii="Arial" w:eastAsia="Times New Roman" w:hAnsi="Arial" w:cs="Arial"/>
                <w:i/>
                <w:sz w:val="16"/>
                <w:szCs w:val="16"/>
                <w:vertAlign w:val="superscript"/>
                <w:lang w:val="es-CO" w:eastAsia="es-CO"/>
              </w:rPr>
              <w:t>3</w:t>
            </w:r>
            <w:r w:rsidRPr="00F7314C">
              <w:rPr>
                <w:rFonts w:ascii="Arial" w:eastAsia="Times New Roman" w:hAnsi="Arial" w:cs="Arial"/>
                <w:i/>
                <w:sz w:val="16"/>
                <w:szCs w:val="16"/>
                <w:lang w:val="es-CO" w:eastAsia="es-CO"/>
              </w:rPr>
              <w:t xml:space="preserve"> vertidos</w:t>
            </w:r>
            <w:r w:rsidRPr="00F7314C">
              <w:rPr>
                <w:rFonts w:ascii="Arial" w:eastAsia="Times New Roman" w:hAnsi="Arial" w:cs="Arial"/>
                <w:i/>
                <w:sz w:val="16"/>
                <w:szCs w:val="16"/>
                <w:vertAlign w:val="subscript"/>
                <w:lang w:val="es-CO" w:eastAsia="es-CO"/>
              </w:rPr>
              <w:t>2014</w:t>
            </w:r>
            <w:r w:rsidRPr="00F7314C">
              <w:rPr>
                <w:rFonts w:ascii="Arial" w:eastAsia="Times New Roman" w:hAnsi="Arial" w:cs="Arial"/>
                <w:i/>
                <w:sz w:val="16"/>
                <w:szCs w:val="16"/>
                <w:lang w:val="es-CO" w:eastAsia="es-CO"/>
              </w:rPr>
              <w:t>)</w:t>
            </w:r>
          </w:p>
          <w:p w14:paraId="00DEE45A" w14:textId="77777777" w:rsidR="008C1E16" w:rsidRPr="00F7314C" w:rsidRDefault="008C1E16" w:rsidP="00420B14">
            <w:pPr>
              <w:pStyle w:val="Prrafodelista"/>
              <w:tabs>
                <w:tab w:val="left" w:pos="284"/>
              </w:tabs>
              <w:spacing w:after="0" w:line="240" w:lineRule="auto"/>
              <w:ind w:left="0"/>
              <w:jc w:val="center"/>
              <w:rPr>
                <w:rFonts w:ascii="Arial" w:eastAsia="Times New Roman" w:hAnsi="Arial" w:cs="Arial"/>
                <w:sz w:val="16"/>
                <w:szCs w:val="16"/>
                <w:lang w:val="es-CO" w:eastAsia="es-CO"/>
              </w:rPr>
            </w:pPr>
          </w:p>
        </w:tc>
      </w:tr>
      <w:tr w:rsidR="008C1E16" w:rsidRPr="00FF7E3D" w14:paraId="14AED3E5" w14:textId="77777777" w:rsidTr="008C1E16">
        <w:trPr>
          <w:trHeight w:val="233"/>
        </w:trPr>
        <w:tc>
          <w:tcPr>
            <w:tcW w:w="1413" w:type="dxa"/>
            <w:vMerge w:val="restart"/>
            <w:shd w:val="clear" w:color="auto" w:fill="auto"/>
            <w:noWrap/>
            <w:vAlign w:val="center"/>
            <w:hideMark/>
          </w:tcPr>
          <w:p w14:paraId="2F932317" w14:textId="77777777" w:rsidR="008C1E16" w:rsidRPr="00F7314C" w:rsidRDefault="008C1E16" w:rsidP="00420B14">
            <w:pPr>
              <w:suppressAutoHyphens w:val="0"/>
              <w:spacing w:after="0" w:line="240" w:lineRule="auto"/>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Tamaño de Redes de Acueducto y Alcantarillado</w:t>
            </w:r>
          </w:p>
        </w:tc>
        <w:tc>
          <w:tcPr>
            <w:tcW w:w="1134" w:type="dxa"/>
            <w:vMerge w:val="restart"/>
            <w:shd w:val="clear" w:color="auto" w:fill="auto"/>
            <w:noWrap/>
            <w:vAlign w:val="center"/>
            <w:hideMark/>
          </w:tcPr>
          <w:p w14:paraId="3AB5FB83"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Producto</w:t>
            </w:r>
          </w:p>
        </w:tc>
        <w:tc>
          <w:tcPr>
            <w:tcW w:w="1701" w:type="dxa"/>
            <w:vMerge w:val="restart"/>
            <w:shd w:val="clear" w:color="auto" w:fill="auto"/>
            <w:vAlign w:val="center"/>
          </w:tcPr>
          <w:p w14:paraId="727EAD16"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Metros cúbicos (m</w:t>
            </w:r>
            <w:r w:rsidRPr="00F7314C">
              <w:rPr>
                <w:rFonts w:ascii="Arial" w:eastAsia="Times New Roman" w:hAnsi="Arial" w:cs="Arial"/>
                <w:sz w:val="16"/>
                <w:szCs w:val="16"/>
                <w:vertAlign w:val="superscript"/>
                <w:lang w:val="es-CO" w:eastAsia="es-CO"/>
              </w:rPr>
              <w:t>3</w:t>
            </w:r>
            <w:r w:rsidRPr="00F7314C">
              <w:rPr>
                <w:rFonts w:ascii="Arial" w:eastAsia="Times New Roman" w:hAnsi="Arial" w:cs="Arial"/>
                <w:sz w:val="16"/>
                <w:szCs w:val="16"/>
                <w:lang w:val="es-CO" w:eastAsia="es-CO"/>
              </w:rPr>
              <w:t>)</w:t>
            </w:r>
          </w:p>
        </w:tc>
        <w:tc>
          <w:tcPr>
            <w:tcW w:w="6332" w:type="dxa"/>
          </w:tcPr>
          <w:p w14:paraId="00C31B15" w14:textId="77777777" w:rsidR="008C1E16" w:rsidRPr="006838BB" w:rsidRDefault="00122B06" w:rsidP="00420B14">
            <w:pPr>
              <w:suppressAutoHyphens w:val="0"/>
              <w:spacing w:after="0" w:line="240" w:lineRule="auto"/>
              <w:jc w:val="center"/>
              <w:rPr>
                <w:rFonts w:ascii="Arial" w:eastAsia="Times New Roman" w:hAnsi="Arial" w:cs="Arial"/>
                <w:iCs/>
                <w:sz w:val="16"/>
                <w:szCs w:val="16"/>
                <w:lang w:eastAsia="es-CO"/>
              </w:rPr>
            </w:pPr>
            <m:oMathPara>
              <m:oMath>
                <m:sSub>
                  <m:sSubPr>
                    <m:ctrlPr>
                      <w:rPr>
                        <w:rFonts w:ascii="Cambria Math" w:eastAsia="Times New Roman" w:hAnsi="Cambria Math" w:cs="Arial"/>
                        <w:i/>
                        <w:iCs/>
                        <w:sz w:val="16"/>
                        <w:szCs w:val="16"/>
                        <w:lang w:eastAsia="es-CO"/>
                      </w:rPr>
                    </m:ctrlPr>
                  </m:sSubPr>
                  <m:e>
                    <m:r>
                      <w:rPr>
                        <w:rFonts w:ascii="Cambria Math" w:eastAsia="Times New Roman" w:hAnsi="Cambria Math" w:cs="Arial"/>
                        <w:sz w:val="16"/>
                        <w:szCs w:val="16"/>
                        <w:lang w:eastAsia="es-CO"/>
                      </w:rPr>
                      <m:t>Tamaño de red (m3)</m:t>
                    </m:r>
                  </m:e>
                  <m:sub>
                    <m:r>
                      <w:rPr>
                        <w:rFonts w:ascii="Cambria Math" w:eastAsia="Times New Roman" w:hAnsi="Cambria Math" w:cs="Arial"/>
                        <w:sz w:val="16"/>
                        <w:szCs w:val="16"/>
                        <w:lang w:eastAsia="es-CO"/>
                      </w:rPr>
                      <m:t>ac/al</m:t>
                    </m:r>
                  </m:sub>
                </m:sSub>
                <m:r>
                  <w:rPr>
                    <w:rFonts w:ascii="Cambria Math" w:eastAsia="Times New Roman" w:hAnsi="Cambria Math" w:cs="Arial"/>
                    <w:sz w:val="16"/>
                    <w:szCs w:val="16"/>
                    <w:lang w:eastAsia="es-CO"/>
                  </w:rPr>
                  <m:t>=</m:t>
                </m:r>
                <m:sSub>
                  <m:sSubPr>
                    <m:ctrlPr>
                      <w:rPr>
                        <w:rFonts w:ascii="Cambria Math" w:eastAsia="Times New Roman" w:hAnsi="Cambria Math" w:cs="Arial"/>
                        <w:i/>
                        <w:iCs/>
                        <w:sz w:val="16"/>
                        <w:szCs w:val="16"/>
                        <w:lang w:eastAsia="es-CO"/>
                      </w:rPr>
                    </m:ctrlPr>
                  </m:sSubPr>
                  <m:e>
                    <m:nary>
                      <m:naryPr>
                        <m:chr m:val="∑"/>
                        <m:ctrlPr>
                          <w:rPr>
                            <w:rFonts w:ascii="Cambria Math" w:eastAsia="Times New Roman" w:hAnsi="Cambria Math" w:cs="Arial"/>
                            <w:i/>
                            <w:iCs/>
                            <w:sz w:val="16"/>
                            <w:szCs w:val="16"/>
                            <w:lang w:eastAsia="es-CO"/>
                          </w:rPr>
                        </m:ctrlPr>
                      </m:naryPr>
                      <m:sub>
                        <m:r>
                          <w:rPr>
                            <w:rFonts w:ascii="Cambria Math" w:eastAsia="Times New Roman" w:hAnsi="Cambria Math" w:cs="Arial"/>
                            <w:sz w:val="16"/>
                            <w:szCs w:val="16"/>
                            <w:lang w:eastAsia="es-CO"/>
                          </w:rPr>
                          <m:t>i=1</m:t>
                        </m:r>
                      </m:sub>
                      <m:sup>
                        <m:r>
                          <w:rPr>
                            <w:rFonts w:ascii="Cambria Math" w:eastAsia="Times New Roman" w:hAnsi="Cambria Math" w:cs="Arial"/>
                            <w:sz w:val="16"/>
                            <w:szCs w:val="16"/>
                            <w:lang w:eastAsia="es-CO"/>
                          </w:rPr>
                          <m:t>n</m:t>
                        </m:r>
                      </m:sup>
                      <m:e>
                        <m:r>
                          <w:rPr>
                            <w:rFonts w:ascii="Cambria Math" w:eastAsia="Times New Roman" w:hAnsi="Cambria Math" w:cs="Arial"/>
                            <w:sz w:val="16"/>
                            <w:szCs w:val="16"/>
                            <w:lang w:eastAsia="es-CO"/>
                          </w:rPr>
                          <m:t>(</m:t>
                        </m:r>
                        <m:sSub>
                          <m:sSubPr>
                            <m:ctrlPr>
                              <w:rPr>
                                <w:rFonts w:ascii="Cambria Math" w:eastAsia="Times New Roman" w:hAnsi="Cambria Math" w:cs="Arial"/>
                                <w:i/>
                                <w:iCs/>
                                <w:sz w:val="16"/>
                                <w:szCs w:val="16"/>
                                <w:lang w:eastAsia="es-CO"/>
                              </w:rPr>
                            </m:ctrlPr>
                          </m:sSubPr>
                          <m:e>
                            <m:r>
                              <w:rPr>
                                <w:rFonts w:ascii="Cambria Math" w:eastAsia="Times New Roman" w:hAnsi="Cambria Math" w:cs="Arial"/>
                                <w:sz w:val="16"/>
                                <w:szCs w:val="16"/>
                                <w:lang w:eastAsia="es-CO"/>
                              </w:rPr>
                              <m:t>A</m:t>
                            </m:r>
                          </m:e>
                          <m:sub>
                            <m:r>
                              <w:rPr>
                                <w:rFonts w:ascii="Cambria Math" w:eastAsia="Times New Roman" w:hAnsi="Cambria Math" w:cs="Arial"/>
                                <w:sz w:val="16"/>
                                <w:szCs w:val="16"/>
                                <w:lang w:eastAsia="es-CO"/>
                              </w:rPr>
                              <m:t>i</m:t>
                            </m:r>
                          </m:sub>
                        </m:sSub>
                        <m:r>
                          <w:rPr>
                            <w:rFonts w:ascii="Cambria Math" w:eastAsia="Times New Roman" w:hAnsi="Cambria Math" w:cs="Arial"/>
                            <w:sz w:val="16"/>
                            <w:szCs w:val="16"/>
                            <w:lang w:eastAsia="es-CO"/>
                          </w:rPr>
                          <m:t>*</m:t>
                        </m:r>
                        <m:sSub>
                          <m:sSubPr>
                            <m:ctrlPr>
                              <w:rPr>
                                <w:rFonts w:ascii="Cambria Math" w:eastAsia="Times New Roman" w:hAnsi="Cambria Math" w:cs="Arial"/>
                                <w:i/>
                                <w:iCs/>
                                <w:sz w:val="16"/>
                                <w:szCs w:val="16"/>
                                <w:lang w:eastAsia="es-CO"/>
                              </w:rPr>
                            </m:ctrlPr>
                          </m:sSubPr>
                          <m:e>
                            <m:r>
                              <w:rPr>
                                <w:rFonts w:ascii="Cambria Math" w:eastAsia="Times New Roman" w:hAnsi="Cambria Math" w:cs="Arial"/>
                                <w:sz w:val="16"/>
                                <w:szCs w:val="16"/>
                                <w:lang w:eastAsia="es-CO"/>
                              </w:rPr>
                              <m:t>L</m:t>
                            </m:r>
                          </m:e>
                          <m:sub>
                            <m:r>
                              <w:rPr>
                                <w:rFonts w:ascii="Cambria Math" w:eastAsia="Times New Roman" w:hAnsi="Cambria Math" w:cs="Arial"/>
                                <w:sz w:val="16"/>
                                <w:szCs w:val="16"/>
                                <w:lang w:eastAsia="es-CO"/>
                              </w:rPr>
                              <m:t>i</m:t>
                            </m:r>
                          </m:sub>
                        </m:sSub>
                        <m:r>
                          <w:rPr>
                            <w:rFonts w:ascii="Cambria Math" w:eastAsia="Times New Roman" w:hAnsi="Cambria Math" w:cs="Arial"/>
                            <w:sz w:val="16"/>
                            <w:szCs w:val="16"/>
                            <w:lang w:eastAsia="es-CO"/>
                          </w:rPr>
                          <m:t>)</m:t>
                        </m:r>
                      </m:e>
                    </m:nary>
                  </m:e>
                  <m:sub>
                    <m:r>
                      <w:rPr>
                        <w:rFonts w:ascii="Cambria Math" w:eastAsia="Times New Roman" w:hAnsi="Cambria Math" w:cs="Arial"/>
                        <w:sz w:val="16"/>
                        <w:szCs w:val="16"/>
                        <w:lang w:eastAsia="es-CO"/>
                      </w:rPr>
                      <m:t>ac/al</m:t>
                    </m:r>
                  </m:sub>
                </m:sSub>
              </m:oMath>
            </m:oMathPara>
          </w:p>
          <w:p w14:paraId="57F2B24B"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p>
        </w:tc>
      </w:tr>
      <w:tr w:rsidR="008C1E16" w:rsidRPr="00FF7E3D" w14:paraId="32A1318B" w14:textId="77777777" w:rsidTr="008C1E16">
        <w:trPr>
          <w:trHeight w:val="232"/>
        </w:trPr>
        <w:tc>
          <w:tcPr>
            <w:tcW w:w="1413" w:type="dxa"/>
            <w:vMerge/>
            <w:shd w:val="clear" w:color="auto" w:fill="auto"/>
            <w:noWrap/>
            <w:vAlign w:val="center"/>
          </w:tcPr>
          <w:p w14:paraId="1203C5AC" w14:textId="77777777" w:rsidR="008C1E16" w:rsidRPr="00F7314C" w:rsidRDefault="008C1E16" w:rsidP="00420B14">
            <w:pPr>
              <w:suppressAutoHyphens w:val="0"/>
              <w:spacing w:after="0" w:line="240" w:lineRule="auto"/>
              <w:rPr>
                <w:rFonts w:ascii="Arial" w:eastAsia="Times New Roman" w:hAnsi="Arial" w:cs="Arial"/>
                <w:b/>
                <w:bCs/>
                <w:sz w:val="16"/>
                <w:szCs w:val="16"/>
                <w:lang w:val="es-CO" w:eastAsia="es-CO"/>
              </w:rPr>
            </w:pPr>
          </w:p>
        </w:tc>
        <w:tc>
          <w:tcPr>
            <w:tcW w:w="1134" w:type="dxa"/>
            <w:vMerge/>
            <w:shd w:val="clear" w:color="auto" w:fill="auto"/>
            <w:noWrap/>
            <w:vAlign w:val="center"/>
          </w:tcPr>
          <w:p w14:paraId="35C303EB"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p>
        </w:tc>
        <w:tc>
          <w:tcPr>
            <w:tcW w:w="1701" w:type="dxa"/>
            <w:vMerge/>
            <w:shd w:val="clear" w:color="auto" w:fill="auto"/>
          </w:tcPr>
          <w:p w14:paraId="157A1D33" w14:textId="77777777" w:rsidR="008C1E16" w:rsidRPr="00F7314C" w:rsidRDefault="008C1E16" w:rsidP="00420B14">
            <w:pPr>
              <w:suppressAutoHyphens w:val="0"/>
              <w:spacing w:after="0" w:line="240" w:lineRule="auto"/>
              <w:rPr>
                <w:rFonts w:ascii="Arial" w:eastAsia="Times New Roman" w:hAnsi="Arial" w:cs="Arial"/>
                <w:sz w:val="16"/>
                <w:szCs w:val="16"/>
                <w:lang w:val="es-CO" w:eastAsia="es-CO"/>
              </w:rPr>
            </w:pPr>
          </w:p>
        </w:tc>
        <w:tc>
          <w:tcPr>
            <w:tcW w:w="6332" w:type="dxa"/>
          </w:tcPr>
          <w:p w14:paraId="08BEE44E" w14:textId="77777777" w:rsidR="008C1E16" w:rsidRPr="00F7314C" w:rsidRDefault="008C1E16" w:rsidP="00420B14">
            <w:pPr>
              <w:suppressAutoHyphens w:val="0"/>
              <w:spacing w:after="0" w:line="240" w:lineRule="auto"/>
              <w:jc w:val="center"/>
              <w:rPr>
                <w:rFonts w:ascii="Arial" w:eastAsia="Times New Roman" w:hAnsi="Arial" w:cs="Arial"/>
                <w:iCs/>
                <w:sz w:val="16"/>
                <w:szCs w:val="16"/>
                <w:lang w:eastAsia="es-CO"/>
              </w:rPr>
            </w:pPr>
          </w:p>
          <w:p w14:paraId="1E492F59" w14:textId="77777777" w:rsidR="008C1E16" w:rsidRPr="006838BB" w:rsidRDefault="00122B06" w:rsidP="00420B14">
            <w:pPr>
              <w:suppressAutoHyphens w:val="0"/>
              <w:spacing w:after="0" w:line="240" w:lineRule="auto"/>
              <w:jc w:val="center"/>
              <w:rPr>
                <w:rFonts w:ascii="Arial" w:eastAsia="Times New Roman" w:hAnsi="Arial" w:cs="Arial"/>
                <w:iCs/>
                <w:sz w:val="16"/>
                <w:szCs w:val="16"/>
                <w:lang w:eastAsia="es-CO"/>
              </w:rPr>
            </w:pPr>
            <m:oMathPara>
              <m:oMath>
                <m:sSub>
                  <m:sSubPr>
                    <m:ctrlPr>
                      <w:rPr>
                        <w:rFonts w:ascii="Cambria Math" w:eastAsia="Times New Roman" w:hAnsi="Cambria Math" w:cs="Arial"/>
                        <w:i/>
                        <w:iCs/>
                        <w:sz w:val="16"/>
                        <w:szCs w:val="16"/>
                        <w:lang w:eastAsia="es-CO"/>
                      </w:rPr>
                    </m:ctrlPr>
                  </m:sSubPr>
                  <m:e>
                    <m:r>
                      <w:rPr>
                        <w:rFonts w:ascii="Cambria Math" w:eastAsia="Times New Roman" w:hAnsi="Cambria Math" w:cs="Arial"/>
                        <w:sz w:val="16"/>
                        <w:szCs w:val="16"/>
                        <w:lang w:eastAsia="es-CO"/>
                      </w:rPr>
                      <m:t>A</m:t>
                    </m:r>
                  </m:e>
                  <m:sub>
                    <m:r>
                      <w:rPr>
                        <w:rFonts w:ascii="Cambria Math" w:eastAsia="Times New Roman" w:hAnsi="Cambria Math" w:cs="Arial"/>
                        <w:sz w:val="16"/>
                        <w:szCs w:val="16"/>
                        <w:lang w:eastAsia="es-CO"/>
                      </w:rPr>
                      <m:t>i</m:t>
                    </m:r>
                  </m:sub>
                </m:sSub>
                <m:r>
                  <w:rPr>
                    <w:rFonts w:ascii="Cambria Math" w:eastAsia="Times New Roman" w:hAnsi="Cambria Math" w:cs="Arial"/>
                    <w:sz w:val="16"/>
                    <w:szCs w:val="16"/>
                    <w:lang w:eastAsia="es-CO"/>
                  </w:rPr>
                  <m:t>=</m:t>
                </m:r>
                <m:d>
                  <m:dPr>
                    <m:begChr m:val="["/>
                    <m:endChr m:val="]"/>
                    <m:ctrlPr>
                      <w:rPr>
                        <w:rFonts w:ascii="Cambria Math" w:eastAsia="Times New Roman" w:hAnsi="Cambria Math" w:cs="Arial"/>
                        <w:i/>
                        <w:iCs/>
                        <w:sz w:val="16"/>
                        <w:szCs w:val="16"/>
                        <w:lang w:eastAsia="es-CO"/>
                      </w:rPr>
                    </m:ctrlPr>
                  </m:dPr>
                  <m:e>
                    <m:r>
                      <w:rPr>
                        <w:rFonts w:ascii="Cambria Math" w:eastAsia="Times New Roman" w:hAnsi="Cambria Math" w:cs="Arial"/>
                        <w:sz w:val="16"/>
                        <w:szCs w:val="16"/>
                        <w:lang w:eastAsia="es-CO"/>
                      </w:rPr>
                      <m:t>π</m:t>
                    </m:r>
                    <m:sSup>
                      <m:sSupPr>
                        <m:ctrlPr>
                          <w:rPr>
                            <w:rFonts w:ascii="Cambria Math" w:eastAsia="Times New Roman" w:hAnsi="Cambria Math" w:cs="Arial"/>
                            <w:i/>
                            <w:iCs/>
                            <w:sz w:val="16"/>
                            <w:szCs w:val="16"/>
                            <w:lang w:eastAsia="es-CO"/>
                          </w:rPr>
                        </m:ctrlPr>
                      </m:sSupPr>
                      <m:e>
                        <m:d>
                          <m:dPr>
                            <m:ctrlPr>
                              <w:rPr>
                                <w:rFonts w:ascii="Cambria Math" w:eastAsia="Times New Roman" w:hAnsi="Cambria Math" w:cs="Arial"/>
                                <w:i/>
                                <w:iCs/>
                                <w:sz w:val="16"/>
                                <w:szCs w:val="16"/>
                                <w:lang w:eastAsia="es-CO"/>
                              </w:rPr>
                            </m:ctrlPr>
                          </m:dPr>
                          <m:e>
                            <m:f>
                              <m:fPr>
                                <m:ctrlPr>
                                  <w:rPr>
                                    <w:rFonts w:ascii="Cambria Math" w:eastAsia="Times New Roman" w:hAnsi="Cambria Math" w:cs="Arial"/>
                                    <w:i/>
                                    <w:iCs/>
                                    <w:sz w:val="16"/>
                                    <w:szCs w:val="16"/>
                                    <w:lang w:eastAsia="es-CO"/>
                                  </w:rPr>
                                </m:ctrlPr>
                              </m:fPr>
                              <m:num>
                                <m:sSub>
                                  <m:sSubPr>
                                    <m:ctrlPr>
                                      <w:rPr>
                                        <w:rFonts w:ascii="Cambria Math" w:eastAsia="Times New Roman" w:hAnsi="Cambria Math" w:cs="Arial"/>
                                        <w:i/>
                                        <w:iCs/>
                                        <w:sz w:val="16"/>
                                        <w:szCs w:val="16"/>
                                        <w:lang w:eastAsia="es-CO"/>
                                      </w:rPr>
                                    </m:ctrlPr>
                                  </m:sSubPr>
                                  <m:e>
                                    <m:r>
                                      <w:rPr>
                                        <w:rFonts w:ascii="Cambria Math" w:eastAsia="Times New Roman" w:hAnsi="Cambria Math" w:cs="Arial"/>
                                        <w:sz w:val="16"/>
                                        <w:szCs w:val="16"/>
                                        <w:lang w:eastAsia="es-CO"/>
                                      </w:rPr>
                                      <m:t>Dnom</m:t>
                                    </m:r>
                                  </m:e>
                                  <m:sub>
                                    <m:r>
                                      <w:rPr>
                                        <w:rFonts w:ascii="Cambria Math" w:eastAsia="Times New Roman" w:hAnsi="Cambria Math" w:cs="Arial"/>
                                        <w:sz w:val="16"/>
                                        <w:szCs w:val="16"/>
                                        <w:lang w:eastAsia="es-CO"/>
                                      </w:rPr>
                                      <m:t>i</m:t>
                                    </m:r>
                                  </m:sub>
                                </m:sSub>
                                <m:r>
                                  <w:rPr>
                                    <w:rFonts w:ascii="Cambria Math" w:eastAsia="Times New Roman" w:hAnsi="Cambria Math" w:cs="Arial"/>
                                    <w:sz w:val="16"/>
                                    <w:szCs w:val="16"/>
                                    <w:lang w:eastAsia="es-CO"/>
                                  </w:rPr>
                                  <m:t> *0,0254</m:t>
                                </m:r>
                              </m:num>
                              <m:den>
                                <m:r>
                                  <w:rPr>
                                    <w:rFonts w:ascii="Cambria Math" w:eastAsia="Times New Roman" w:hAnsi="Cambria Math" w:cs="Arial"/>
                                    <w:sz w:val="16"/>
                                    <w:szCs w:val="16"/>
                                    <w:lang w:eastAsia="es-CO"/>
                                  </w:rPr>
                                  <m:t>2</m:t>
                                </m:r>
                              </m:den>
                            </m:f>
                          </m:e>
                        </m:d>
                      </m:e>
                      <m:sup>
                        <m:r>
                          <w:rPr>
                            <w:rFonts w:ascii="Cambria Math" w:eastAsia="Times New Roman" w:hAnsi="Cambria Math" w:cs="Arial"/>
                            <w:sz w:val="16"/>
                            <w:szCs w:val="16"/>
                            <w:lang w:eastAsia="es-CO"/>
                          </w:rPr>
                          <m:t>2</m:t>
                        </m:r>
                      </m:sup>
                    </m:sSup>
                  </m:e>
                </m:d>
              </m:oMath>
            </m:oMathPara>
          </w:p>
          <w:p w14:paraId="78AA26D8"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p>
        </w:tc>
      </w:tr>
      <w:tr w:rsidR="008C1E16" w:rsidRPr="00FF7E3D" w14:paraId="333B5A71" w14:textId="77777777" w:rsidTr="008C1E16">
        <w:trPr>
          <w:trHeight w:val="998"/>
        </w:trPr>
        <w:tc>
          <w:tcPr>
            <w:tcW w:w="1413" w:type="dxa"/>
            <w:shd w:val="clear" w:color="auto" w:fill="DEEAF6"/>
            <w:noWrap/>
            <w:vAlign w:val="center"/>
            <w:hideMark/>
          </w:tcPr>
          <w:p w14:paraId="6CF66BBF" w14:textId="77777777" w:rsidR="008C1E16" w:rsidRPr="00F7314C" w:rsidRDefault="008C1E16" w:rsidP="00420B14">
            <w:pPr>
              <w:suppressAutoHyphens w:val="0"/>
              <w:spacing w:after="0" w:line="240" w:lineRule="auto"/>
              <w:rPr>
                <w:rFonts w:ascii="Arial" w:eastAsia="Times New Roman" w:hAnsi="Arial" w:cs="Arial"/>
                <w:b/>
                <w:bCs/>
                <w:sz w:val="16"/>
                <w:szCs w:val="16"/>
                <w:lang w:val="es-CO" w:eastAsia="es-CO"/>
              </w:rPr>
            </w:pPr>
            <w:r w:rsidRPr="00F7314C">
              <w:rPr>
                <w:rFonts w:ascii="Arial" w:eastAsia="Times New Roman" w:hAnsi="Arial" w:cs="Arial"/>
                <w:b/>
                <w:bCs/>
                <w:sz w:val="16"/>
                <w:szCs w:val="16"/>
                <w:lang w:val="es-CO" w:eastAsia="es-CO"/>
              </w:rPr>
              <w:t>Calidad del Agua Cruda</w:t>
            </w:r>
          </w:p>
        </w:tc>
        <w:tc>
          <w:tcPr>
            <w:tcW w:w="1134" w:type="dxa"/>
            <w:shd w:val="clear" w:color="auto" w:fill="DEEAF6"/>
            <w:noWrap/>
            <w:vAlign w:val="center"/>
            <w:hideMark/>
          </w:tcPr>
          <w:p w14:paraId="44907ED0" w14:textId="77777777" w:rsidR="008C1E16" w:rsidRPr="00F7314C" w:rsidRDefault="008C1E16" w:rsidP="00420B14">
            <w:pPr>
              <w:suppressAutoHyphens w:val="0"/>
              <w:spacing w:after="0" w:line="240" w:lineRule="auto"/>
              <w:jc w:val="center"/>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Producto</w:t>
            </w:r>
          </w:p>
        </w:tc>
        <w:tc>
          <w:tcPr>
            <w:tcW w:w="1701" w:type="dxa"/>
            <w:shd w:val="clear" w:color="auto" w:fill="DEEAF6"/>
          </w:tcPr>
          <w:p w14:paraId="765DD849" w14:textId="77777777" w:rsidR="008C1E16" w:rsidRPr="00F7314C" w:rsidRDefault="008C1E16" w:rsidP="00420B14">
            <w:pPr>
              <w:suppressAutoHyphens w:val="0"/>
              <w:spacing w:after="0" w:line="240" w:lineRule="auto"/>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Variable a la escala de 1-4:</w:t>
            </w:r>
          </w:p>
          <w:p w14:paraId="093F69D9" w14:textId="77777777" w:rsidR="008C1E16" w:rsidRPr="00F7314C" w:rsidRDefault="008C1E16" w:rsidP="00420B14">
            <w:pPr>
              <w:suppressAutoHyphens w:val="0"/>
              <w:autoSpaceDE w:val="0"/>
              <w:autoSpaceDN w:val="0"/>
              <w:adjustRightInd w:val="0"/>
              <w:spacing w:after="0" w:line="240" w:lineRule="auto"/>
              <w:jc w:val="both"/>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*Siendo 4 el valor que</w:t>
            </w:r>
          </w:p>
          <w:p w14:paraId="60CC7116" w14:textId="77777777" w:rsidR="008C1E16" w:rsidRPr="00F7314C" w:rsidRDefault="008C1E16" w:rsidP="00420B14">
            <w:pPr>
              <w:suppressAutoHyphens w:val="0"/>
              <w:spacing w:after="0" w:line="240" w:lineRule="auto"/>
              <w:jc w:val="both"/>
              <w:rPr>
                <w:rFonts w:ascii="Arial" w:eastAsia="Times New Roman" w:hAnsi="Arial" w:cs="Arial"/>
                <w:sz w:val="16"/>
                <w:szCs w:val="16"/>
                <w:lang w:val="es-CO" w:eastAsia="es-CO"/>
              </w:rPr>
            </w:pPr>
            <w:r w:rsidRPr="00F7314C">
              <w:rPr>
                <w:rFonts w:ascii="Arial" w:eastAsia="Times New Roman" w:hAnsi="Arial" w:cs="Arial"/>
                <w:sz w:val="16"/>
                <w:szCs w:val="16"/>
                <w:lang w:val="es-CO" w:eastAsia="es-CO"/>
              </w:rPr>
              <w:t>representa la mejor calidad del agua cruda</w:t>
            </w:r>
          </w:p>
          <w:p w14:paraId="1E1B4F3B" w14:textId="77777777" w:rsidR="008C1E16" w:rsidRPr="00F7314C" w:rsidRDefault="008C1E16" w:rsidP="00420B14">
            <w:pPr>
              <w:suppressAutoHyphens w:val="0"/>
              <w:spacing w:after="0" w:line="240" w:lineRule="auto"/>
              <w:rPr>
                <w:rFonts w:ascii="Arial" w:eastAsia="Times New Roman" w:hAnsi="Arial" w:cs="Arial"/>
                <w:sz w:val="16"/>
                <w:szCs w:val="16"/>
                <w:lang w:val="es-CO" w:eastAsia="es-CO"/>
              </w:rPr>
            </w:pPr>
          </w:p>
        </w:tc>
        <w:tc>
          <w:tcPr>
            <w:tcW w:w="6332" w:type="dxa"/>
            <w:shd w:val="clear" w:color="auto" w:fill="DEEAF6"/>
          </w:tcPr>
          <w:p w14:paraId="18BB560A" w14:textId="6EB22FB5" w:rsidR="008C1E16" w:rsidRPr="00F7314C" w:rsidRDefault="00EF6CEE" w:rsidP="00420B14">
            <w:pPr>
              <w:spacing w:after="0" w:line="240" w:lineRule="auto"/>
              <w:jc w:val="center"/>
              <w:rPr>
                <w:rFonts w:ascii="Arial" w:hAnsi="Arial" w:cs="Arial"/>
                <w:sz w:val="16"/>
                <w:szCs w:val="16"/>
              </w:rPr>
            </w:pPr>
            <w:r w:rsidRPr="00383195">
              <w:rPr>
                <w:rFonts w:cs="Arial"/>
                <w:position w:val="-66"/>
              </w:rPr>
              <w:object w:dxaOrig="3060" w:dyaOrig="1440" w14:anchorId="0E273ADD">
                <v:shape id="_x0000_i1026" type="#_x0000_t75" style="width:128.25pt;height:59.25pt" o:ole="">
                  <v:imagedata r:id="rId12" o:title=""/>
                </v:shape>
                <o:OLEObject Type="Embed" ProgID="Equation.3" ShapeID="_x0000_i1026" DrawAspect="Content" ObjectID="_1592636844" r:id="rId13"/>
              </w:object>
            </w:r>
          </w:p>
          <w:p w14:paraId="65E07BAC" w14:textId="77777777" w:rsidR="008C1E16" w:rsidRPr="00F7314C" w:rsidRDefault="008C1E16" w:rsidP="00420B14">
            <w:pPr>
              <w:suppressAutoHyphens w:val="0"/>
              <w:spacing w:after="0" w:line="240" w:lineRule="auto"/>
              <w:rPr>
                <w:rFonts w:ascii="Arial" w:hAnsi="Arial" w:cs="Arial"/>
                <w:sz w:val="16"/>
                <w:szCs w:val="16"/>
                <w:lang w:val="es-CO"/>
              </w:rPr>
            </w:pPr>
            <w:r w:rsidRPr="00F7314C">
              <w:rPr>
                <w:rFonts w:ascii="Arial" w:hAnsi="Arial" w:cs="Arial"/>
                <w:sz w:val="16"/>
                <w:szCs w:val="16"/>
                <w:lang w:val="es-CO"/>
              </w:rPr>
              <w:t xml:space="preserve">El indicador de esta variable con la metodología aplicada oscila en un rango de </w:t>
            </w:r>
            <w:smartTag w:uri="urn:schemas-microsoft-com:office:smarttags" w:element="metricconverter">
              <w:smartTagPr>
                <w:attr w:name="ProductID" w:val="0 a"/>
              </w:smartTagPr>
              <w:r w:rsidRPr="00F7314C">
                <w:rPr>
                  <w:rFonts w:ascii="Arial" w:hAnsi="Arial" w:cs="Arial"/>
                  <w:sz w:val="16"/>
                  <w:szCs w:val="16"/>
                  <w:lang w:val="es-CO"/>
                </w:rPr>
                <w:t>0 a</w:t>
              </w:r>
            </w:smartTag>
            <w:r w:rsidRPr="00F7314C">
              <w:rPr>
                <w:rFonts w:ascii="Arial" w:hAnsi="Arial" w:cs="Arial"/>
                <w:sz w:val="16"/>
                <w:szCs w:val="16"/>
                <w:lang w:val="es-CO"/>
              </w:rPr>
              <w:t xml:space="preserve"> 100, No obstante, el rango con el que entra al modelo DEA es de 1 a 4</w:t>
            </w:r>
            <w:r w:rsidRPr="00F7314C">
              <w:rPr>
                <w:rStyle w:val="Refdenotaalpie"/>
                <w:rFonts w:ascii="Arial" w:hAnsi="Arial" w:cs="Arial"/>
                <w:sz w:val="16"/>
                <w:szCs w:val="16"/>
                <w:lang w:val="es-CO"/>
              </w:rPr>
              <w:footnoteReference w:id="14"/>
            </w:r>
            <w:r w:rsidRPr="00F7314C">
              <w:rPr>
                <w:rFonts w:ascii="Arial" w:hAnsi="Arial" w:cs="Arial"/>
                <w:sz w:val="16"/>
                <w:szCs w:val="16"/>
                <w:lang w:val="es-CO"/>
              </w:rPr>
              <w:t>.</w:t>
            </w:r>
          </w:p>
          <w:p w14:paraId="6FF55E9B" w14:textId="77777777" w:rsidR="008C1E16" w:rsidRPr="00F7314C" w:rsidRDefault="008C1E16" w:rsidP="00420B14">
            <w:pPr>
              <w:suppressAutoHyphens w:val="0"/>
              <w:spacing w:after="0" w:line="240" w:lineRule="auto"/>
              <w:rPr>
                <w:rFonts w:ascii="Arial" w:eastAsia="Times New Roman" w:hAnsi="Arial" w:cs="Arial"/>
                <w:sz w:val="16"/>
                <w:szCs w:val="16"/>
                <w:lang w:val="es-CO" w:eastAsia="es-CO"/>
              </w:rPr>
            </w:pPr>
          </w:p>
        </w:tc>
      </w:tr>
    </w:tbl>
    <w:p w14:paraId="07097DE4" w14:textId="77777777" w:rsidR="008C1E16" w:rsidRPr="00F7314C" w:rsidRDefault="008C1E16" w:rsidP="00420B14">
      <w:pPr>
        <w:spacing w:after="0" w:line="240" w:lineRule="auto"/>
        <w:ind w:left="1288"/>
        <w:jc w:val="center"/>
        <w:rPr>
          <w:rFonts w:ascii="Arial" w:hAnsi="Arial" w:cs="Arial"/>
          <w:sz w:val="20"/>
          <w:szCs w:val="20"/>
          <w:lang w:val="es-MX"/>
        </w:rPr>
      </w:pPr>
      <w:r w:rsidRPr="00F7314C">
        <w:rPr>
          <w:rFonts w:ascii="Arial" w:hAnsi="Arial" w:cs="Arial"/>
          <w:sz w:val="20"/>
          <w:szCs w:val="20"/>
          <w:lang w:val="es-MX"/>
        </w:rPr>
        <w:t>Fuente: CRA</w:t>
      </w:r>
    </w:p>
    <w:p w14:paraId="122F4954" w14:textId="77777777" w:rsidR="008C1E16" w:rsidRDefault="008C1E16" w:rsidP="00420B14">
      <w:pPr>
        <w:spacing w:after="0" w:line="240" w:lineRule="auto"/>
      </w:pPr>
    </w:p>
    <w:p w14:paraId="3B1CE984" w14:textId="77777777" w:rsidR="00186EF6" w:rsidRPr="00F80B53" w:rsidRDefault="00186EF6" w:rsidP="001D5976">
      <w:pPr>
        <w:spacing w:after="0" w:line="240" w:lineRule="auto"/>
        <w:jc w:val="both"/>
        <w:rPr>
          <w:rFonts w:ascii="Arial" w:hAnsi="Arial" w:cs="Arial"/>
          <w:sz w:val="20"/>
          <w:szCs w:val="20"/>
        </w:rPr>
      </w:pPr>
      <w:r w:rsidRPr="00F80B53">
        <w:rPr>
          <w:rFonts w:ascii="Arial" w:hAnsi="Arial" w:cs="Arial"/>
          <w:sz w:val="20"/>
          <w:szCs w:val="20"/>
        </w:rPr>
        <w:t xml:space="preserve">La metodología utilizada para calcular el Índice de Calidad del Agua </w:t>
      </w:r>
      <m:oMath>
        <m:sSub>
          <m:sSubPr>
            <m:ctrlPr>
              <w:rPr>
                <w:rFonts w:ascii="Cambria Math" w:hAnsi="Cambria Math" w:cs="Arial"/>
                <w:i/>
                <w:sz w:val="20"/>
                <w:szCs w:val="20"/>
              </w:rPr>
            </m:ctrlPr>
          </m:sSubPr>
          <m:e>
            <m:r>
              <w:rPr>
                <w:rFonts w:ascii="Cambria Math" w:hAnsi="Cambria Math" w:cs="Arial"/>
                <w:sz w:val="20"/>
                <w:szCs w:val="20"/>
              </w:rPr>
              <m:t>WQI</m:t>
            </m:r>
          </m:e>
          <m:sub>
            <m:r>
              <w:rPr>
                <w:rFonts w:ascii="Cambria Math" w:hAnsi="Cambria Math" w:cs="Arial"/>
                <w:sz w:val="20"/>
                <w:szCs w:val="20"/>
              </w:rPr>
              <m:t>n</m:t>
            </m:r>
          </m:sub>
        </m:sSub>
      </m:oMath>
      <w:r w:rsidRPr="00F80B53">
        <w:rPr>
          <w:rFonts w:ascii="Arial" w:hAnsi="Arial" w:cs="Arial"/>
          <w:sz w:val="20"/>
          <w:szCs w:val="20"/>
        </w:rPr>
        <w:t xml:space="preserve"> se desarrolló conjuntamente con la Superintendencia de Servicios Públicos Domiciliarios y</w:t>
      </w:r>
      <w:r w:rsidR="001D5976" w:rsidRPr="00F80B53">
        <w:rPr>
          <w:rFonts w:ascii="Arial" w:hAnsi="Arial" w:cs="Arial"/>
          <w:sz w:val="20"/>
          <w:szCs w:val="20"/>
        </w:rPr>
        <w:t xml:space="preserve"> se</w:t>
      </w:r>
      <w:r w:rsidRPr="00F80B53">
        <w:rPr>
          <w:rFonts w:ascii="Arial" w:hAnsi="Arial" w:cs="Arial"/>
          <w:sz w:val="20"/>
          <w:szCs w:val="20"/>
        </w:rPr>
        <w:t xml:space="preserve"> encuentra incorporada en el numeral 6 de la sección 2.1.2.2 del Documento de Trabajo de la Resolución CRA 346 de 2005</w:t>
      </w:r>
      <w:r w:rsidRPr="00F80B53">
        <w:rPr>
          <w:rStyle w:val="Refdenotaalpie"/>
          <w:rFonts w:ascii="Arial" w:hAnsi="Arial" w:cs="Arial"/>
          <w:sz w:val="20"/>
          <w:szCs w:val="20"/>
        </w:rPr>
        <w:footnoteReference w:id="15"/>
      </w:r>
      <w:r w:rsidRPr="00F80B53">
        <w:rPr>
          <w:rFonts w:ascii="Arial" w:hAnsi="Arial" w:cs="Arial"/>
          <w:sz w:val="20"/>
          <w:szCs w:val="20"/>
        </w:rPr>
        <w:t xml:space="preserve">. </w:t>
      </w:r>
    </w:p>
    <w:p w14:paraId="5F374A2A" w14:textId="77777777" w:rsidR="001D5976" w:rsidRPr="00F80B53" w:rsidRDefault="001D5976" w:rsidP="001D5976">
      <w:pPr>
        <w:spacing w:after="0" w:line="240" w:lineRule="auto"/>
        <w:jc w:val="both"/>
        <w:rPr>
          <w:rFonts w:ascii="Arial" w:hAnsi="Arial" w:cs="Arial"/>
          <w:sz w:val="20"/>
          <w:szCs w:val="20"/>
        </w:rPr>
      </w:pPr>
    </w:p>
    <w:p w14:paraId="67250599" w14:textId="77777777" w:rsidR="00186EF6" w:rsidRPr="001D5976" w:rsidRDefault="001D5976" w:rsidP="001D5976">
      <w:pPr>
        <w:spacing w:after="0" w:line="240" w:lineRule="auto"/>
        <w:jc w:val="both"/>
        <w:rPr>
          <w:rFonts w:ascii="Arial" w:hAnsi="Arial" w:cs="Arial"/>
          <w:sz w:val="20"/>
          <w:szCs w:val="20"/>
        </w:rPr>
      </w:pPr>
      <w:r w:rsidRPr="00F80B53">
        <w:rPr>
          <w:rFonts w:ascii="Arial" w:hAnsi="Arial" w:cs="Arial"/>
          <w:sz w:val="20"/>
          <w:szCs w:val="20"/>
        </w:rPr>
        <w:t>Para esta variable</w:t>
      </w:r>
      <w:r w:rsidR="00032ACE" w:rsidRPr="00F80B53">
        <w:rPr>
          <w:rFonts w:ascii="Arial" w:hAnsi="Arial" w:cs="Arial"/>
          <w:sz w:val="20"/>
          <w:szCs w:val="20"/>
        </w:rPr>
        <w:t>,</w:t>
      </w:r>
      <w:r w:rsidRPr="00F80B53">
        <w:rPr>
          <w:rFonts w:ascii="Arial" w:hAnsi="Arial" w:cs="Arial"/>
          <w:sz w:val="20"/>
          <w:szCs w:val="20"/>
        </w:rPr>
        <w:t xml:space="preserve"> es importante aclarar </w:t>
      </w:r>
      <w:r w:rsidR="00186EF6" w:rsidRPr="00F80B53">
        <w:rPr>
          <w:rFonts w:ascii="Arial" w:hAnsi="Arial" w:cs="Arial"/>
          <w:sz w:val="20"/>
          <w:szCs w:val="20"/>
        </w:rPr>
        <w:t>que para aquellas fuentes que no tienen información de calidad o está incompleta en sus parámetros, el valor del WQI es igual a 100 ya que se asume que la fuente es de buena calidad, a menos que la empresa que utiliza dicha fuente demuestre que no lo es y esto afecta sus costos de producción de agua potable.</w:t>
      </w:r>
    </w:p>
    <w:p w14:paraId="12549E58" w14:textId="77777777" w:rsidR="00186EF6" w:rsidRDefault="00186EF6" w:rsidP="00714712">
      <w:pPr>
        <w:spacing w:after="0" w:line="240" w:lineRule="auto"/>
        <w:jc w:val="both"/>
        <w:rPr>
          <w:rFonts w:ascii="Arial" w:hAnsi="Arial" w:cs="Arial"/>
          <w:sz w:val="20"/>
        </w:rPr>
      </w:pPr>
    </w:p>
    <w:p w14:paraId="57A5859D" w14:textId="312175A2" w:rsidR="007C4B0F" w:rsidRPr="00B92EAF" w:rsidRDefault="007C4B0F" w:rsidP="007C4B0F">
      <w:pPr>
        <w:spacing w:after="0" w:line="240" w:lineRule="auto"/>
        <w:jc w:val="both"/>
        <w:rPr>
          <w:rFonts w:ascii="Arial" w:hAnsi="Arial" w:cs="Arial"/>
          <w:sz w:val="20"/>
          <w:szCs w:val="20"/>
        </w:rPr>
      </w:pPr>
      <w:r>
        <w:rPr>
          <w:rFonts w:ascii="Arial" w:hAnsi="Arial" w:cs="Arial"/>
          <w:sz w:val="20"/>
        </w:rPr>
        <w:t xml:space="preserve">Ahora bien, se debe tener en cuenta que se </w:t>
      </w:r>
      <w:r w:rsidRPr="00B92EAF">
        <w:rPr>
          <w:rFonts w:ascii="Arial" w:eastAsia="Times New Roman" w:hAnsi="Arial" w:cs="Arial"/>
          <w:sz w:val="20"/>
          <w:szCs w:val="20"/>
        </w:rPr>
        <w:t xml:space="preserve">realizó un promedio de los </w:t>
      </w:r>
      <m:oMath>
        <m:r>
          <w:rPr>
            <w:rFonts w:ascii="Cambria Math" w:hAnsi="Cambria Math" w:cs="Arial"/>
            <w:sz w:val="20"/>
            <w:szCs w:val="20"/>
          </w:rPr>
          <m:t>WQI</m:t>
        </m:r>
      </m:oMath>
      <w:r w:rsidRPr="00B92EAF">
        <w:rPr>
          <w:rFonts w:ascii="Arial" w:eastAsia="Times New Roman" w:hAnsi="Arial" w:cs="Arial"/>
          <w:sz w:val="20"/>
          <w:szCs w:val="20"/>
        </w:rPr>
        <w:t xml:space="preserve"> anuales para la serie de análisis 2010 - 2014 de los municipios donde se encuentran las fuentes para obtener el </w:t>
      </w:r>
      <m:oMath>
        <m:r>
          <w:rPr>
            <w:rFonts w:ascii="Cambria Math" w:hAnsi="Cambria Math" w:cs="Arial"/>
            <w:sz w:val="20"/>
            <w:szCs w:val="20"/>
          </w:rPr>
          <m:t>WQI</m:t>
        </m:r>
      </m:oMath>
      <w:r w:rsidRPr="00B92EAF">
        <w:rPr>
          <w:rFonts w:ascii="Arial" w:eastAsia="Times New Roman" w:hAnsi="Arial" w:cs="Arial"/>
          <w:sz w:val="20"/>
          <w:szCs w:val="20"/>
        </w:rPr>
        <w:t xml:space="preserve"> por empresa para el análisis </w:t>
      </w:r>
      <w:r w:rsidRPr="00B92EAF">
        <w:rPr>
          <w:rFonts w:ascii="Arial" w:hAnsi="Arial" w:cs="Arial"/>
          <w:sz w:val="20"/>
          <w:szCs w:val="20"/>
        </w:rPr>
        <w:t>de los datos atípicos de dicha variable.</w:t>
      </w:r>
    </w:p>
    <w:p w14:paraId="0403BBC5" w14:textId="77777777" w:rsidR="007C4B0F" w:rsidRPr="00B92EAF" w:rsidRDefault="007C4B0F" w:rsidP="007C4B0F">
      <w:pPr>
        <w:pStyle w:val="Prrafodelista"/>
        <w:spacing w:after="0" w:line="240" w:lineRule="auto"/>
        <w:ind w:left="0"/>
        <w:jc w:val="both"/>
        <w:rPr>
          <w:rFonts w:ascii="Arial" w:hAnsi="Arial" w:cs="Arial"/>
          <w:sz w:val="20"/>
          <w:szCs w:val="20"/>
        </w:rPr>
      </w:pPr>
    </w:p>
    <w:p w14:paraId="1E471EFA" w14:textId="77777777" w:rsidR="007C4B0F" w:rsidRPr="00B92EAF" w:rsidRDefault="007C4B0F" w:rsidP="007C4B0F">
      <w:pPr>
        <w:pStyle w:val="Prrafodelista"/>
        <w:spacing w:after="0" w:line="240" w:lineRule="auto"/>
        <w:ind w:left="0"/>
        <w:jc w:val="both"/>
        <w:rPr>
          <w:rFonts w:ascii="Arial" w:eastAsia="Times New Roman" w:hAnsi="Arial" w:cs="Arial"/>
          <w:sz w:val="20"/>
          <w:szCs w:val="20"/>
        </w:rPr>
      </w:pPr>
      <w:r w:rsidRPr="00B92EAF">
        <w:rPr>
          <w:rFonts w:ascii="Arial" w:eastAsia="Times New Roman" w:hAnsi="Arial" w:cs="Arial"/>
          <w:sz w:val="20"/>
          <w:szCs w:val="20"/>
        </w:rPr>
        <w:t xml:space="preserve">En concordancia con lo anterior, se estimó </w:t>
      </w:r>
      <w:r w:rsidRPr="00B92EAF">
        <w:rPr>
          <w:rFonts w:ascii="Arial" w:hAnsi="Arial" w:cs="Arial"/>
          <w:sz w:val="20"/>
          <w:szCs w:val="20"/>
        </w:rPr>
        <w:t xml:space="preserve">el promedio por empresa para el Acueducto, Alcantarillado y Aseo de Bogotá EAB E.S.P., Empresas Públicas de Medellín E.S.P., Acueducto Metropolitano de Bucaramanga S. A. E.S.P., y Aguas de Manizales S.A. E.S.P. teniendo en cuenta que no son </w:t>
      </w:r>
      <w:r w:rsidRPr="00B92EAF">
        <w:rPr>
          <w:rFonts w:ascii="Arial" w:eastAsia="Times New Roman" w:hAnsi="Arial" w:cs="Arial"/>
          <w:sz w:val="20"/>
          <w:szCs w:val="20"/>
        </w:rPr>
        <w:t>concordantes los municipios donde se encuentran las fuentes de las cuales se abastece la persona prestadora con las APS en los cuales se presta el servicio.</w:t>
      </w:r>
    </w:p>
    <w:p w14:paraId="297C2F51" w14:textId="77777777" w:rsidR="007C4B0F" w:rsidRPr="00B92EAF" w:rsidRDefault="007C4B0F" w:rsidP="007C4B0F">
      <w:pPr>
        <w:pStyle w:val="Prrafodelista"/>
        <w:spacing w:after="0" w:line="240" w:lineRule="auto"/>
        <w:ind w:left="0"/>
        <w:jc w:val="both"/>
        <w:rPr>
          <w:rFonts w:ascii="Arial" w:eastAsia="Times New Roman" w:hAnsi="Arial" w:cs="Arial"/>
          <w:sz w:val="20"/>
          <w:szCs w:val="20"/>
        </w:rPr>
      </w:pPr>
    </w:p>
    <w:p w14:paraId="1C300FBE" w14:textId="6E04709B" w:rsidR="007C4B0F" w:rsidRPr="00B92EAF" w:rsidRDefault="007C4B0F" w:rsidP="007C4B0F">
      <w:pPr>
        <w:pStyle w:val="Prrafodelista"/>
        <w:spacing w:after="0" w:line="240" w:lineRule="auto"/>
        <w:ind w:left="0"/>
        <w:jc w:val="both"/>
        <w:rPr>
          <w:rFonts w:ascii="Arial" w:hAnsi="Arial" w:cs="Arial"/>
          <w:color w:val="212121"/>
          <w:sz w:val="20"/>
          <w:szCs w:val="20"/>
          <w:shd w:val="clear" w:color="auto" w:fill="FFFFFF"/>
        </w:rPr>
      </w:pPr>
      <w:r w:rsidRPr="00B92EAF">
        <w:rPr>
          <w:rFonts w:ascii="Arial" w:hAnsi="Arial" w:cs="Arial"/>
          <w:color w:val="212121"/>
          <w:sz w:val="20"/>
          <w:szCs w:val="20"/>
          <w:shd w:val="clear" w:color="auto" w:fill="FFFFFF"/>
        </w:rPr>
        <w:t xml:space="preserve">De otro lado, se aclara que para las </w:t>
      </w:r>
      <w:r w:rsidRPr="00B92EAF">
        <w:rPr>
          <w:rFonts w:ascii="Arial" w:hAnsi="Arial" w:cs="Arial"/>
          <w:sz w:val="20"/>
          <w:szCs w:val="20"/>
        </w:rPr>
        <w:t xml:space="preserve">empresas de Acueducto, Alcantarillado y Aseo de Bogotá EAB E.S.P. y para Empresas Públicas de Medellín E.S.P se estimó el promedio de acuerdo con el número de fuentes de captación reportadas en los </w:t>
      </w:r>
      <w:r w:rsidR="00C03315">
        <w:rPr>
          <w:rFonts w:ascii="Arial" w:hAnsi="Arial" w:cs="Arial"/>
          <w:sz w:val="20"/>
          <w:szCs w:val="20"/>
        </w:rPr>
        <w:t>formatos y formularios del SUI. Lo anterior</w:t>
      </w:r>
      <w:r w:rsidRPr="00B92EAF">
        <w:rPr>
          <w:rFonts w:ascii="Arial" w:hAnsi="Arial" w:cs="Arial"/>
          <w:sz w:val="20"/>
          <w:szCs w:val="20"/>
        </w:rPr>
        <w:t>, dado que</w:t>
      </w:r>
      <w:r>
        <w:rPr>
          <w:rFonts w:ascii="Arial" w:hAnsi="Arial" w:cs="Arial"/>
          <w:sz w:val="20"/>
          <w:szCs w:val="20"/>
        </w:rPr>
        <w:t xml:space="preserve"> en algunos de los años del periodo de análisis 2010-2014, </w:t>
      </w:r>
      <w:r w:rsidRPr="00B92EAF">
        <w:rPr>
          <w:rFonts w:ascii="Arial" w:hAnsi="Arial" w:cs="Arial"/>
          <w:sz w:val="20"/>
          <w:szCs w:val="20"/>
        </w:rPr>
        <w:t>hubo fuentes que fueron reportadas por los prestadores con un caudal de cero (0) y dichas fuentes se tuvieron en cuenta para el cálculo d</w:t>
      </w:r>
      <w:r w:rsidR="00C03315">
        <w:rPr>
          <w:rFonts w:ascii="Arial" w:hAnsi="Arial" w:cs="Arial"/>
          <w:sz w:val="20"/>
          <w:szCs w:val="20"/>
        </w:rPr>
        <w:t xml:space="preserve">el promedio del WQI por empresa. </w:t>
      </w:r>
      <w:r w:rsidR="00C03315" w:rsidRPr="00D8184E">
        <w:rPr>
          <w:rFonts w:ascii="Arial" w:hAnsi="Arial" w:cs="Arial"/>
          <w:sz w:val="20"/>
          <w:szCs w:val="20"/>
        </w:rPr>
        <w:t>En otras palabras, para el respectivo promedio se tuvo en cuenta el número de fuente de captación, aunque</w:t>
      </w:r>
      <w:r w:rsidR="00A53BC1" w:rsidRPr="00D8184E">
        <w:t xml:space="preserve"> </w:t>
      </w:r>
      <w:r w:rsidR="00A53BC1" w:rsidRPr="00D8184E">
        <w:rPr>
          <w:rFonts w:ascii="Arial" w:hAnsi="Arial" w:cs="Arial"/>
          <w:sz w:val="20"/>
          <w:szCs w:val="20"/>
        </w:rPr>
        <w:t>el caudal calculado para las fuentes del municipio es cero (0)</w:t>
      </w:r>
      <w:r w:rsidR="00C03315" w:rsidRPr="00D8184E">
        <w:rPr>
          <w:rFonts w:ascii="Arial" w:hAnsi="Arial" w:cs="Arial"/>
          <w:sz w:val="20"/>
          <w:szCs w:val="20"/>
        </w:rPr>
        <w:t>.</w:t>
      </w:r>
    </w:p>
    <w:p w14:paraId="5FBF4C03" w14:textId="77777777" w:rsidR="007C4B0F" w:rsidRDefault="007C4B0F" w:rsidP="00714712">
      <w:pPr>
        <w:spacing w:after="0" w:line="240" w:lineRule="auto"/>
        <w:jc w:val="both"/>
        <w:rPr>
          <w:rFonts w:ascii="Arial" w:hAnsi="Arial" w:cs="Arial"/>
          <w:sz w:val="20"/>
        </w:rPr>
      </w:pPr>
    </w:p>
    <w:p w14:paraId="1459DF11" w14:textId="2657C436" w:rsidR="007C4B0F" w:rsidRDefault="00C03315" w:rsidP="00C03315">
      <w:pPr>
        <w:spacing w:after="0" w:line="240" w:lineRule="auto"/>
        <w:jc w:val="both"/>
        <w:rPr>
          <w:rFonts w:ascii="Arial" w:hAnsi="Arial" w:cs="Arial"/>
          <w:sz w:val="20"/>
          <w:szCs w:val="20"/>
        </w:rPr>
      </w:pPr>
      <w:r>
        <w:rPr>
          <w:rFonts w:ascii="Arial" w:hAnsi="Arial" w:cs="Arial"/>
          <w:sz w:val="20"/>
        </w:rPr>
        <w:t xml:space="preserve">Por tal razón, </w:t>
      </w:r>
      <w:r w:rsidRPr="00B92EAF">
        <w:rPr>
          <w:rFonts w:ascii="Arial" w:eastAsia="Times New Roman" w:hAnsi="Arial" w:cs="Arial"/>
          <w:sz w:val="20"/>
          <w:szCs w:val="20"/>
        </w:rPr>
        <w:t>para l</w:t>
      </w:r>
      <w:r w:rsidRPr="00B92EAF">
        <w:rPr>
          <w:rFonts w:ascii="Arial" w:hAnsi="Arial" w:cs="Arial"/>
          <w:color w:val="212121"/>
          <w:sz w:val="20"/>
          <w:szCs w:val="20"/>
          <w:shd w:val="clear" w:color="auto" w:fill="FFFFFF"/>
        </w:rPr>
        <w:t xml:space="preserve">a </w:t>
      </w:r>
      <w:r w:rsidRPr="00B92EAF">
        <w:rPr>
          <w:rFonts w:ascii="Arial" w:hAnsi="Arial" w:cs="Arial"/>
          <w:sz w:val="20"/>
          <w:szCs w:val="20"/>
        </w:rPr>
        <w:t>empresa de Acueducto, Alcantarillado y Aseo de Bogotá EAB E.S.P., luego de revisar la información reportada, se modificó la información para el cálculo del DEA frente a la publicada en la Resolución CRA 782 de 2016</w:t>
      </w:r>
      <w:r>
        <w:rPr>
          <w:rFonts w:ascii="Arial" w:hAnsi="Arial" w:cs="Arial"/>
          <w:sz w:val="20"/>
          <w:szCs w:val="20"/>
        </w:rPr>
        <w:t>.</w:t>
      </w:r>
    </w:p>
    <w:p w14:paraId="100F028B" w14:textId="77777777" w:rsidR="00C03315" w:rsidRDefault="00C03315" w:rsidP="00C03315">
      <w:pPr>
        <w:spacing w:after="0" w:line="240" w:lineRule="auto"/>
        <w:jc w:val="both"/>
        <w:rPr>
          <w:rFonts w:ascii="Arial" w:hAnsi="Arial" w:cs="Arial"/>
          <w:sz w:val="20"/>
        </w:rPr>
      </w:pPr>
    </w:p>
    <w:p w14:paraId="0B16A309" w14:textId="0B31E639" w:rsidR="00420B14" w:rsidRPr="00714712" w:rsidRDefault="00420B14" w:rsidP="00714712">
      <w:pPr>
        <w:spacing w:after="0" w:line="240" w:lineRule="auto"/>
        <w:jc w:val="both"/>
        <w:rPr>
          <w:rFonts w:ascii="Arial" w:hAnsi="Arial" w:cs="Arial"/>
          <w:sz w:val="20"/>
        </w:rPr>
      </w:pPr>
      <w:r w:rsidRPr="00714712">
        <w:rPr>
          <w:rFonts w:ascii="Arial" w:hAnsi="Arial" w:cs="Arial"/>
          <w:sz w:val="20"/>
        </w:rPr>
        <w:t xml:space="preserve">En el caso de la estimación de los costos administrativos y operativos, se tuvo en cuenta lo siguiente: </w:t>
      </w:r>
    </w:p>
    <w:p w14:paraId="7E7955B9" w14:textId="77777777" w:rsidR="00420B14" w:rsidRPr="00714712" w:rsidRDefault="00420B14" w:rsidP="00714712">
      <w:pPr>
        <w:spacing w:after="0" w:line="240" w:lineRule="auto"/>
        <w:jc w:val="both"/>
        <w:rPr>
          <w:rFonts w:ascii="Arial" w:hAnsi="Arial" w:cs="Arial"/>
          <w:sz w:val="20"/>
        </w:rPr>
      </w:pPr>
    </w:p>
    <w:p w14:paraId="0FDAA906" w14:textId="77777777" w:rsidR="00420B14" w:rsidRPr="00714712" w:rsidRDefault="00420B14" w:rsidP="00714712">
      <w:pPr>
        <w:spacing w:after="0" w:line="240" w:lineRule="auto"/>
        <w:jc w:val="both"/>
        <w:rPr>
          <w:rFonts w:ascii="Arial" w:hAnsi="Arial" w:cs="Arial"/>
          <w:b/>
          <w:sz w:val="20"/>
        </w:rPr>
      </w:pPr>
      <w:r w:rsidRPr="00714712">
        <w:rPr>
          <w:rFonts w:ascii="Arial" w:hAnsi="Arial" w:cs="Arial"/>
          <w:b/>
          <w:sz w:val="20"/>
        </w:rPr>
        <w:t>Costos Administrativos:</w:t>
      </w:r>
    </w:p>
    <w:p w14:paraId="529306BF" w14:textId="77777777" w:rsidR="00420B14" w:rsidRPr="00714712" w:rsidRDefault="00420B14" w:rsidP="00714712">
      <w:pPr>
        <w:spacing w:after="0" w:line="240" w:lineRule="auto"/>
        <w:jc w:val="both"/>
        <w:rPr>
          <w:rFonts w:ascii="Arial" w:hAnsi="Arial" w:cs="Arial"/>
        </w:rPr>
      </w:pPr>
    </w:p>
    <w:p w14:paraId="6D76B6BC" w14:textId="77777777" w:rsidR="00420B14" w:rsidRPr="00714712" w:rsidRDefault="00420B14" w:rsidP="00714712">
      <w:pPr>
        <w:pStyle w:val="Prrafodelista"/>
        <w:numPr>
          <w:ilvl w:val="0"/>
          <w:numId w:val="26"/>
        </w:numPr>
        <w:spacing w:after="0" w:line="240" w:lineRule="auto"/>
        <w:jc w:val="both"/>
        <w:rPr>
          <w:rFonts w:ascii="Arial" w:hAnsi="Arial" w:cs="Arial"/>
          <w:sz w:val="20"/>
          <w:szCs w:val="20"/>
          <w:lang w:val="es-MX"/>
        </w:rPr>
      </w:pPr>
      <w:r w:rsidRPr="00714712">
        <w:rPr>
          <w:rFonts w:ascii="Arial" w:hAnsi="Arial" w:cs="Arial"/>
          <w:sz w:val="20"/>
          <w:szCs w:val="20"/>
        </w:rPr>
        <w:t>Información remitida por la empresa para los costos administrativos.</w:t>
      </w:r>
    </w:p>
    <w:p w14:paraId="7E4D32F8" w14:textId="77777777" w:rsidR="00420B14" w:rsidRPr="00714712" w:rsidRDefault="00420B14" w:rsidP="00714712">
      <w:pPr>
        <w:pStyle w:val="Prrafodelista"/>
        <w:numPr>
          <w:ilvl w:val="0"/>
          <w:numId w:val="26"/>
        </w:numPr>
        <w:spacing w:after="0" w:line="240" w:lineRule="auto"/>
        <w:jc w:val="both"/>
        <w:rPr>
          <w:rFonts w:ascii="Arial" w:hAnsi="Arial" w:cs="Arial"/>
          <w:sz w:val="20"/>
          <w:szCs w:val="20"/>
          <w:lang w:val="es-MX"/>
        </w:rPr>
      </w:pPr>
      <w:r w:rsidRPr="00714712">
        <w:rPr>
          <w:rFonts w:ascii="Arial" w:hAnsi="Arial" w:cs="Arial"/>
          <w:sz w:val="20"/>
          <w:szCs w:val="20"/>
          <w:lang w:val="es-MX"/>
        </w:rPr>
        <w:t>Remuneración de los activos administrativos de propiedad de la persona prestadora: Resultado de tomar monto presentado por depreciación en el numeral anterior para aplicar la fórmula del literal g del artículo 27</w:t>
      </w:r>
      <w:r w:rsidRPr="00714712">
        <w:rPr>
          <w:rStyle w:val="Refdenotaalpie"/>
          <w:rFonts w:ascii="Arial" w:hAnsi="Arial" w:cs="Arial"/>
          <w:sz w:val="20"/>
          <w:szCs w:val="20"/>
          <w:lang w:val="es-MX"/>
        </w:rPr>
        <w:footnoteReference w:id="16"/>
      </w:r>
      <w:r w:rsidRPr="00714712">
        <w:rPr>
          <w:rFonts w:ascii="Arial" w:hAnsi="Arial" w:cs="Arial"/>
          <w:sz w:val="20"/>
          <w:szCs w:val="20"/>
          <w:lang w:val="es-MX"/>
        </w:rPr>
        <w:t xml:space="preserve"> de la Resolución CRA 688 de 2014</w:t>
      </w:r>
    </w:p>
    <w:p w14:paraId="72A94ADA" w14:textId="77777777" w:rsidR="00420B14" w:rsidRPr="00714712" w:rsidRDefault="00420B14" w:rsidP="00714712">
      <w:pPr>
        <w:pStyle w:val="Prrafodelista"/>
        <w:numPr>
          <w:ilvl w:val="0"/>
          <w:numId w:val="26"/>
        </w:numPr>
        <w:spacing w:after="0" w:line="240" w:lineRule="auto"/>
        <w:jc w:val="both"/>
        <w:rPr>
          <w:rFonts w:ascii="Arial" w:hAnsi="Arial" w:cs="Arial"/>
          <w:sz w:val="20"/>
          <w:szCs w:val="20"/>
          <w:lang w:val="es-MX"/>
        </w:rPr>
      </w:pPr>
      <w:r w:rsidRPr="00714712">
        <w:rPr>
          <w:rFonts w:ascii="Arial" w:hAnsi="Arial" w:cs="Arial"/>
          <w:sz w:val="20"/>
          <w:szCs w:val="20"/>
          <w:lang w:val="es-MX"/>
        </w:rPr>
        <w:t>sumar la remuneración de los activos a los costos presentados en el numeral 1</w:t>
      </w:r>
    </w:p>
    <w:p w14:paraId="63A989A6" w14:textId="77777777" w:rsidR="00420B14" w:rsidRPr="00714712" w:rsidRDefault="00420B14" w:rsidP="00714712">
      <w:pPr>
        <w:pStyle w:val="Prrafodelista"/>
        <w:numPr>
          <w:ilvl w:val="0"/>
          <w:numId w:val="26"/>
        </w:numPr>
        <w:spacing w:after="0" w:line="240" w:lineRule="auto"/>
        <w:jc w:val="both"/>
        <w:rPr>
          <w:rFonts w:ascii="Arial" w:hAnsi="Arial" w:cs="Arial"/>
          <w:sz w:val="20"/>
          <w:szCs w:val="20"/>
          <w:lang w:val="es-MX"/>
        </w:rPr>
      </w:pPr>
      <w:r w:rsidRPr="00714712">
        <w:rPr>
          <w:rFonts w:ascii="Arial" w:hAnsi="Arial" w:cs="Arial"/>
          <w:sz w:val="20"/>
          <w:szCs w:val="20"/>
          <w:lang w:val="es-MX"/>
        </w:rPr>
        <w:t>Se Indexan los costos resultantes del numeral 3 para los años 2013 y 2014, a pesos de diciembre 2014, de conformidad con lo establecido con el parágrafo 4 del artículo 5</w:t>
      </w:r>
      <w:r w:rsidRPr="00714712">
        <w:rPr>
          <w:rStyle w:val="Refdenotaalpie"/>
          <w:rFonts w:ascii="Arial" w:hAnsi="Arial" w:cs="Arial"/>
          <w:sz w:val="20"/>
          <w:szCs w:val="20"/>
          <w:lang w:val="es-MX"/>
        </w:rPr>
        <w:footnoteReference w:id="17"/>
      </w:r>
      <w:r w:rsidRPr="00714712">
        <w:rPr>
          <w:rFonts w:ascii="Arial" w:hAnsi="Arial" w:cs="Arial"/>
          <w:sz w:val="20"/>
          <w:szCs w:val="20"/>
          <w:lang w:val="es-MX"/>
        </w:rPr>
        <w:t xml:space="preserve"> de la Resolución 688 de 2014</w:t>
      </w:r>
    </w:p>
    <w:p w14:paraId="7A129A44" w14:textId="77777777" w:rsidR="00420B14" w:rsidRPr="00714712" w:rsidRDefault="00420B14" w:rsidP="00714712">
      <w:pPr>
        <w:pStyle w:val="Prrafodelista"/>
        <w:numPr>
          <w:ilvl w:val="0"/>
          <w:numId w:val="26"/>
        </w:numPr>
        <w:spacing w:after="0" w:line="240" w:lineRule="auto"/>
        <w:jc w:val="both"/>
        <w:rPr>
          <w:rFonts w:ascii="Arial" w:hAnsi="Arial" w:cs="Arial"/>
          <w:sz w:val="20"/>
          <w:szCs w:val="20"/>
          <w:lang w:val="es-MX"/>
        </w:rPr>
      </w:pPr>
      <w:r w:rsidRPr="00714712">
        <w:rPr>
          <w:rFonts w:ascii="Arial" w:hAnsi="Arial" w:cs="Arial"/>
          <w:sz w:val="20"/>
          <w:szCs w:val="20"/>
          <w:lang w:val="es-MX"/>
        </w:rPr>
        <w:t>Se promedian los costos resultantes del numeral 4</w:t>
      </w:r>
    </w:p>
    <w:p w14:paraId="36B5114C" w14:textId="77777777" w:rsidR="00420B14" w:rsidRPr="00714712" w:rsidRDefault="00420B14" w:rsidP="00714712">
      <w:pPr>
        <w:pStyle w:val="Prrafodelista"/>
        <w:numPr>
          <w:ilvl w:val="0"/>
          <w:numId w:val="26"/>
        </w:numPr>
        <w:spacing w:after="0" w:line="240" w:lineRule="auto"/>
        <w:jc w:val="both"/>
        <w:rPr>
          <w:rFonts w:ascii="Arial" w:hAnsi="Arial" w:cs="Arial"/>
          <w:sz w:val="20"/>
          <w:szCs w:val="20"/>
          <w:lang w:val="es-MX"/>
        </w:rPr>
      </w:pPr>
      <w:r w:rsidRPr="00714712">
        <w:rPr>
          <w:rFonts w:ascii="Arial" w:hAnsi="Arial" w:cs="Arial"/>
          <w:sz w:val="20"/>
          <w:szCs w:val="20"/>
          <w:lang w:val="es-MX"/>
        </w:rPr>
        <w:t>Para la estimación del P</w:t>
      </w:r>
      <w:r w:rsidRPr="00714712">
        <w:rPr>
          <w:rFonts w:ascii="Arial" w:hAnsi="Arial" w:cs="Arial"/>
          <w:sz w:val="20"/>
          <w:szCs w:val="20"/>
          <w:vertAlign w:val="subscript"/>
          <w:lang w:val="es-MX"/>
        </w:rPr>
        <w:t>DEA</w:t>
      </w:r>
      <w:r w:rsidRPr="00714712">
        <w:rPr>
          <w:rFonts w:ascii="Arial" w:hAnsi="Arial" w:cs="Arial"/>
          <w:sz w:val="20"/>
          <w:szCs w:val="20"/>
          <w:lang w:val="es-MX"/>
        </w:rPr>
        <w:t>, se tiene en cuenta la suma de los costos de los servicios de acueducto y alcantarillado.</w:t>
      </w:r>
    </w:p>
    <w:p w14:paraId="5B656E58" w14:textId="77777777" w:rsidR="00420B14" w:rsidRPr="00714712" w:rsidRDefault="00420B14" w:rsidP="00714712">
      <w:pPr>
        <w:spacing w:after="0" w:line="240" w:lineRule="auto"/>
        <w:jc w:val="both"/>
        <w:rPr>
          <w:rFonts w:ascii="Arial" w:hAnsi="Arial" w:cs="Arial"/>
          <w:sz w:val="20"/>
          <w:szCs w:val="20"/>
          <w:lang w:val="es-MX"/>
        </w:rPr>
      </w:pPr>
    </w:p>
    <w:p w14:paraId="5D4708B9" w14:textId="77777777" w:rsidR="00420B14" w:rsidRPr="00714712" w:rsidRDefault="00420B14" w:rsidP="00714712">
      <w:pPr>
        <w:pStyle w:val="Prrafodelista"/>
        <w:spacing w:after="0" w:line="240" w:lineRule="auto"/>
        <w:ind w:left="0"/>
        <w:jc w:val="both"/>
        <w:rPr>
          <w:rFonts w:ascii="Arial" w:hAnsi="Arial" w:cs="Arial"/>
          <w:b/>
          <w:sz w:val="20"/>
          <w:szCs w:val="20"/>
          <w:lang w:val="es-MX"/>
        </w:rPr>
      </w:pPr>
      <w:r w:rsidRPr="00714712">
        <w:rPr>
          <w:rFonts w:ascii="Arial" w:hAnsi="Arial" w:cs="Arial"/>
          <w:b/>
          <w:sz w:val="20"/>
          <w:szCs w:val="20"/>
          <w:lang w:val="es-MX"/>
        </w:rPr>
        <w:t>Costos Operativos</w:t>
      </w:r>
      <w:r w:rsidR="00714712">
        <w:rPr>
          <w:rFonts w:ascii="Arial" w:hAnsi="Arial" w:cs="Arial"/>
          <w:b/>
          <w:sz w:val="20"/>
          <w:szCs w:val="20"/>
          <w:lang w:val="es-MX"/>
        </w:rPr>
        <w:t>:</w:t>
      </w:r>
    </w:p>
    <w:p w14:paraId="09268A7C" w14:textId="77777777" w:rsidR="00420B14" w:rsidRPr="00714712" w:rsidRDefault="00420B14" w:rsidP="00714712">
      <w:pPr>
        <w:pStyle w:val="Prrafodelista"/>
        <w:spacing w:after="0" w:line="240" w:lineRule="auto"/>
        <w:ind w:left="720"/>
        <w:jc w:val="both"/>
        <w:rPr>
          <w:rFonts w:ascii="Arial" w:hAnsi="Arial" w:cs="Arial"/>
          <w:sz w:val="20"/>
          <w:szCs w:val="20"/>
          <w:lang w:val="es-MX"/>
        </w:rPr>
      </w:pPr>
    </w:p>
    <w:p w14:paraId="269B7264" w14:textId="77777777" w:rsidR="00420B14" w:rsidRPr="00714712" w:rsidRDefault="00420B14" w:rsidP="00714712">
      <w:pPr>
        <w:pStyle w:val="Prrafodelista"/>
        <w:numPr>
          <w:ilvl w:val="0"/>
          <w:numId w:val="29"/>
        </w:numPr>
        <w:spacing w:after="0" w:line="240" w:lineRule="auto"/>
        <w:jc w:val="both"/>
        <w:rPr>
          <w:rFonts w:ascii="Arial" w:hAnsi="Arial" w:cs="Arial"/>
          <w:sz w:val="20"/>
          <w:szCs w:val="20"/>
          <w:lang w:val="es-MX"/>
        </w:rPr>
      </w:pPr>
      <w:r w:rsidRPr="00714712">
        <w:rPr>
          <w:rFonts w:ascii="Arial" w:hAnsi="Arial" w:cs="Arial"/>
          <w:sz w:val="20"/>
          <w:szCs w:val="20"/>
          <w:lang w:val="es-MX"/>
        </w:rPr>
        <w:t xml:space="preserve">Información remitida por la empresa para los costos operativos incluyendo pagos por concepto de contratos de suministro de agua potable y/o interconexión correspondiente al costo operativos comparable. </w:t>
      </w:r>
    </w:p>
    <w:p w14:paraId="34803AC6" w14:textId="77777777" w:rsidR="00420B14" w:rsidRPr="00714712" w:rsidRDefault="00420B14" w:rsidP="00714712">
      <w:pPr>
        <w:pStyle w:val="Prrafodelista"/>
        <w:numPr>
          <w:ilvl w:val="0"/>
          <w:numId w:val="29"/>
        </w:numPr>
        <w:spacing w:after="0" w:line="240" w:lineRule="auto"/>
        <w:jc w:val="both"/>
        <w:rPr>
          <w:rFonts w:ascii="Arial" w:hAnsi="Arial" w:cs="Arial"/>
          <w:sz w:val="20"/>
          <w:szCs w:val="20"/>
          <w:lang w:val="es-MX"/>
        </w:rPr>
      </w:pPr>
      <w:r w:rsidRPr="00714712">
        <w:rPr>
          <w:rFonts w:ascii="Arial" w:hAnsi="Arial" w:cs="Arial"/>
          <w:sz w:val="20"/>
          <w:szCs w:val="20"/>
          <w:lang w:val="es-MX"/>
        </w:rPr>
        <w:t>Remuneración de los activos operativos de propiedad de la persona prestadora: Resultado de tomar monto presentado por depreciación en el numeral anterior para aplicar la fórmula del literal k del artículo 34</w:t>
      </w:r>
      <w:r w:rsidRPr="00714712">
        <w:rPr>
          <w:rStyle w:val="Refdenotaalpie"/>
          <w:rFonts w:ascii="Arial" w:hAnsi="Arial" w:cs="Arial"/>
          <w:sz w:val="20"/>
          <w:szCs w:val="20"/>
          <w:lang w:val="es-MX"/>
        </w:rPr>
        <w:footnoteReference w:id="18"/>
      </w:r>
      <w:r w:rsidRPr="00714712">
        <w:rPr>
          <w:rFonts w:ascii="Arial" w:hAnsi="Arial" w:cs="Arial"/>
          <w:sz w:val="20"/>
          <w:szCs w:val="20"/>
          <w:lang w:val="es-MX"/>
        </w:rPr>
        <w:t xml:space="preserve"> de la Resolución CRA 688 de 2014. </w:t>
      </w:r>
    </w:p>
    <w:p w14:paraId="365B8C9B" w14:textId="77777777" w:rsidR="00420B14" w:rsidRPr="00714712" w:rsidRDefault="00420B14" w:rsidP="00714712">
      <w:pPr>
        <w:pStyle w:val="Prrafodelista"/>
        <w:numPr>
          <w:ilvl w:val="0"/>
          <w:numId w:val="29"/>
        </w:numPr>
        <w:spacing w:after="0" w:line="240" w:lineRule="auto"/>
        <w:jc w:val="both"/>
        <w:rPr>
          <w:rFonts w:ascii="Arial" w:hAnsi="Arial" w:cs="Arial"/>
          <w:sz w:val="20"/>
          <w:szCs w:val="20"/>
          <w:lang w:val="es-MX"/>
        </w:rPr>
      </w:pPr>
      <w:r w:rsidRPr="00714712">
        <w:rPr>
          <w:rFonts w:ascii="Arial" w:hAnsi="Arial" w:cs="Arial"/>
          <w:sz w:val="20"/>
          <w:szCs w:val="20"/>
          <w:lang w:val="es-MX"/>
        </w:rPr>
        <w:t>Aplicar el parágrafo 5 del artículo 34 ibídem y sumar la remuneración de los activos a los costos presentados en el numeral 1, se obtienen los siguientes resultados:</w:t>
      </w:r>
      <w:r w:rsidR="00714712" w:rsidRPr="00714712">
        <w:rPr>
          <w:rFonts w:ascii="Arial" w:hAnsi="Arial" w:cs="Arial"/>
          <w:sz w:val="20"/>
          <w:szCs w:val="20"/>
          <w:lang w:val="es-MX"/>
        </w:rPr>
        <w:t xml:space="preserve"> </w:t>
      </w:r>
    </w:p>
    <w:p w14:paraId="712DE581" w14:textId="77777777" w:rsidR="00420B14" w:rsidRPr="00714712" w:rsidRDefault="00420B14" w:rsidP="00714712">
      <w:pPr>
        <w:pStyle w:val="Prrafodelista"/>
        <w:numPr>
          <w:ilvl w:val="0"/>
          <w:numId w:val="29"/>
        </w:numPr>
        <w:spacing w:after="0" w:line="240" w:lineRule="auto"/>
        <w:jc w:val="both"/>
        <w:rPr>
          <w:rFonts w:ascii="Arial" w:hAnsi="Arial" w:cs="Arial"/>
          <w:sz w:val="20"/>
          <w:szCs w:val="20"/>
          <w:lang w:val="es-MX"/>
        </w:rPr>
      </w:pPr>
      <w:r w:rsidRPr="00714712">
        <w:rPr>
          <w:rFonts w:ascii="Arial" w:hAnsi="Arial" w:cs="Arial"/>
          <w:sz w:val="20"/>
          <w:szCs w:val="20"/>
          <w:lang w:val="es-MX"/>
        </w:rPr>
        <w:t>Se Indexan los costos resultados del numeral 3 para los años 2013 y 2014, a pesos de diciembre 2014, de conformidad con lo establecido con el parágrafo 4 del artículo 5</w:t>
      </w:r>
      <w:r w:rsidRPr="00714712">
        <w:rPr>
          <w:rStyle w:val="Refdenotaalpie"/>
          <w:rFonts w:ascii="Arial" w:hAnsi="Arial" w:cs="Arial"/>
          <w:sz w:val="20"/>
          <w:szCs w:val="20"/>
          <w:lang w:val="es-MX"/>
        </w:rPr>
        <w:footnoteReference w:id="19"/>
      </w:r>
      <w:r w:rsidRPr="00714712">
        <w:rPr>
          <w:rFonts w:ascii="Arial" w:hAnsi="Arial" w:cs="Arial"/>
          <w:sz w:val="20"/>
          <w:szCs w:val="20"/>
          <w:lang w:val="es-MX"/>
        </w:rPr>
        <w:t xml:space="preserve"> de la Resolución 688 de 2014</w:t>
      </w:r>
    </w:p>
    <w:p w14:paraId="08CA85D8" w14:textId="77777777" w:rsidR="00420B14" w:rsidRPr="00714712" w:rsidRDefault="00420B14" w:rsidP="00714712">
      <w:pPr>
        <w:pStyle w:val="Prrafodelista"/>
        <w:numPr>
          <w:ilvl w:val="0"/>
          <w:numId w:val="29"/>
        </w:numPr>
        <w:spacing w:after="0" w:line="240" w:lineRule="auto"/>
        <w:jc w:val="both"/>
        <w:rPr>
          <w:rFonts w:ascii="Arial" w:hAnsi="Arial" w:cs="Arial"/>
          <w:sz w:val="20"/>
          <w:szCs w:val="20"/>
          <w:lang w:val="es-MX"/>
        </w:rPr>
      </w:pPr>
      <w:r w:rsidRPr="00714712">
        <w:rPr>
          <w:rFonts w:ascii="Arial" w:hAnsi="Arial" w:cs="Arial"/>
          <w:sz w:val="20"/>
          <w:szCs w:val="20"/>
          <w:lang w:val="es-MX"/>
        </w:rPr>
        <w:t xml:space="preserve">Se promedian los costos resultantes del numeral 4, obteniendo los siguientes </w:t>
      </w:r>
    </w:p>
    <w:p w14:paraId="5C7D6C3C" w14:textId="77777777" w:rsidR="00714712" w:rsidRPr="00714712" w:rsidRDefault="00420B14" w:rsidP="00714712">
      <w:pPr>
        <w:pStyle w:val="Prrafodelista"/>
        <w:numPr>
          <w:ilvl w:val="0"/>
          <w:numId w:val="29"/>
        </w:numPr>
        <w:spacing w:after="0" w:line="240" w:lineRule="auto"/>
        <w:jc w:val="both"/>
        <w:rPr>
          <w:rFonts w:ascii="Arial" w:hAnsi="Arial" w:cs="Arial"/>
        </w:rPr>
      </w:pPr>
      <w:r w:rsidRPr="00714712">
        <w:rPr>
          <w:rFonts w:ascii="Arial" w:hAnsi="Arial" w:cs="Arial"/>
          <w:sz w:val="20"/>
          <w:szCs w:val="20"/>
          <w:lang w:val="es-MX"/>
        </w:rPr>
        <w:t>Para la estimación del P</w:t>
      </w:r>
      <w:r w:rsidRPr="00714712">
        <w:rPr>
          <w:rFonts w:ascii="Arial" w:hAnsi="Arial" w:cs="Arial"/>
          <w:sz w:val="20"/>
          <w:szCs w:val="20"/>
          <w:vertAlign w:val="subscript"/>
          <w:lang w:val="es-MX"/>
        </w:rPr>
        <w:t>DEA</w:t>
      </w:r>
      <w:r w:rsidRPr="00714712">
        <w:rPr>
          <w:rFonts w:ascii="Arial" w:hAnsi="Arial" w:cs="Arial"/>
          <w:sz w:val="20"/>
          <w:szCs w:val="20"/>
          <w:lang w:val="es-MX"/>
        </w:rPr>
        <w:t>, se tiene en cuenta la suma de los costos de los servicio</w:t>
      </w:r>
      <w:r w:rsidR="00714712" w:rsidRPr="00714712">
        <w:rPr>
          <w:rFonts w:ascii="Arial" w:hAnsi="Arial" w:cs="Arial"/>
          <w:sz w:val="20"/>
          <w:szCs w:val="20"/>
          <w:lang w:val="es-MX"/>
        </w:rPr>
        <w:t>s de acueducto y alcantarillado.</w:t>
      </w:r>
    </w:p>
    <w:p w14:paraId="52AE1F8C" w14:textId="77777777" w:rsidR="00714712" w:rsidRDefault="00714712" w:rsidP="00714712">
      <w:pPr>
        <w:pStyle w:val="Prrafodelista"/>
        <w:spacing w:after="0" w:line="240" w:lineRule="auto"/>
        <w:ind w:left="0"/>
        <w:jc w:val="both"/>
        <w:rPr>
          <w:rFonts w:ascii="Arial" w:hAnsi="Arial" w:cs="Arial"/>
          <w:sz w:val="20"/>
          <w:szCs w:val="20"/>
          <w:lang w:val="es-MX"/>
        </w:rPr>
      </w:pPr>
    </w:p>
    <w:p w14:paraId="7CFD3152" w14:textId="77777777" w:rsidR="00420B14" w:rsidRPr="00714712" w:rsidRDefault="00714712" w:rsidP="00714712">
      <w:pPr>
        <w:pStyle w:val="Prrafodelista"/>
        <w:spacing w:after="0" w:line="240" w:lineRule="auto"/>
        <w:ind w:left="0"/>
        <w:jc w:val="both"/>
        <w:rPr>
          <w:rFonts w:ascii="Arial" w:hAnsi="Arial" w:cs="Arial"/>
          <w:sz w:val="20"/>
          <w:szCs w:val="20"/>
        </w:rPr>
      </w:pPr>
      <w:r w:rsidRPr="00714712">
        <w:rPr>
          <w:rFonts w:ascii="Arial" w:hAnsi="Arial" w:cs="Arial"/>
          <w:sz w:val="20"/>
          <w:szCs w:val="20"/>
          <w:lang w:val="es-MX"/>
        </w:rPr>
        <w:t>De igual forma, la estimación de los costos administrativos y operativos para cada persona prestadora que se encuentra dentro del grupo básico,</w:t>
      </w:r>
      <w:r w:rsidRPr="00714712">
        <w:rPr>
          <w:rFonts w:ascii="Arial" w:hAnsi="Arial" w:cs="Arial"/>
          <w:sz w:val="20"/>
          <w:szCs w:val="20"/>
        </w:rPr>
        <w:t xml:space="preserve"> se presenta detalladamente en el </w:t>
      </w:r>
      <w:r w:rsidRPr="00630FF4">
        <w:rPr>
          <w:rFonts w:ascii="Arial" w:hAnsi="Arial" w:cs="Arial"/>
          <w:sz w:val="20"/>
          <w:szCs w:val="20"/>
        </w:rPr>
        <w:t>numeral 5 del documento de la metodología de estimación del puntaje DEA.</w:t>
      </w:r>
    </w:p>
    <w:p w14:paraId="723D6507" w14:textId="77777777" w:rsidR="00420B14" w:rsidRDefault="00420B14" w:rsidP="00420B14">
      <w:pPr>
        <w:spacing w:after="0" w:line="240" w:lineRule="auto"/>
      </w:pPr>
    </w:p>
    <w:p w14:paraId="0B8BB2DC" w14:textId="77777777" w:rsidR="009C553A" w:rsidRDefault="009C553A" w:rsidP="009C553A">
      <w:pPr>
        <w:pStyle w:val="Ttulo2"/>
        <w:rPr>
          <w:lang w:val="es-CO" w:eastAsia="es-CO"/>
        </w:rPr>
      </w:pPr>
      <w:bookmarkStart w:id="22" w:name="_Toc506988584"/>
      <w:r>
        <w:t>RESPUESTA NO.</w:t>
      </w:r>
      <w:r w:rsidRPr="00097873">
        <w:fldChar w:fldCharType="begin"/>
      </w:r>
      <w:r w:rsidRPr="00097873">
        <w:instrText xml:space="preserve"> SEQ RESPUESTA_N. \* ARABIC </w:instrText>
      </w:r>
      <w:r w:rsidRPr="00097873">
        <w:fldChar w:fldCharType="separate"/>
      </w:r>
      <w:r>
        <w:rPr>
          <w:noProof/>
        </w:rPr>
        <w:t>6</w:t>
      </w:r>
      <w:r w:rsidRPr="00097873">
        <w:fldChar w:fldCharType="end"/>
      </w:r>
      <w:r w:rsidRPr="00097873">
        <w:t xml:space="preserve">. </w:t>
      </w:r>
      <w:r w:rsidRPr="00C704F1">
        <w:rPr>
          <w:lang w:val="es-CO" w:eastAsia="es-CO"/>
        </w:rPr>
        <w:t>RELACIÓN INVERSA DE LAS VARIABLES</w:t>
      </w:r>
      <w:bookmarkEnd w:id="22"/>
    </w:p>
    <w:p w14:paraId="095959AC" w14:textId="77777777" w:rsidR="0015472D" w:rsidRDefault="0015472D" w:rsidP="0015472D">
      <w:pPr>
        <w:pStyle w:val="Textoindependiente2"/>
        <w:spacing w:after="0" w:line="240" w:lineRule="auto"/>
        <w:jc w:val="both"/>
        <w:rPr>
          <w:rFonts w:ascii="Arial" w:hAnsi="Arial" w:cs="Arial"/>
          <w:bCs/>
          <w:iCs/>
          <w:sz w:val="20"/>
        </w:rPr>
      </w:pPr>
    </w:p>
    <w:p w14:paraId="664F9F10" w14:textId="275B4A6F" w:rsidR="00432A30" w:rsidRPr="004D14A5" w:rsidRDefault="00A2533C" w:rsidP="004D14A5">
      <w:pPr>
        <w:pStyle w:val="Prrafodelista"/>
        <w:spacing w:after="0" w:line="240" w:lineRule="auto"/>
        <w:ind w:left="0"/>
        <w:jc w:val="both"/>
        <w:rPr>
          <w:rFonts w:ascii="Arial" w:hAnsi="Arial" w:cs="Arial"/>
          <w:sz w:val="20"/>
          <w:szCs w:val="20"/>
          <w:lang w:val="es-MX"/>
        </w:rPr>
      </w:pPr>
      <w:r w:rsidRPr="004D14A5">
        <w:rPr>
          <w:rFonts w:ascii="Arial" w:hAnsi="Arial" w:cs="Arial"/>
          <w:sz w:val="20"/>
          <w:szCs w:val="20"/>
          <w:lang w:val="es-MX"/>
        </w:rPr>
        <w:t xml:space="preserve">Al respecto, </w:t>
      </w:r>
      <w:r w:rsidR="00A53BC1" w:rsidRPr="004D14A5">
        <w:rPr>
          <w:rFonts w:ascii="Arial" w:hAnsi="Arial" w:cs="Arial"/>
          <w:sz w:val="20"/>
          <w:szCs w:val="20"/>
          <w:lang w:val="es-MX"/>
        </w:rPr>
        <w:t>se reitera que el modelo DEA de la Resolución CRA 688 de 2014 está orientado a la minimización de costos con rendimientos variables de escala. Teniendo en cuenta que el Modelo DEA no requiere que sea especificada una forma funcional para las relaciones entre los insumos y los productos de las empresas</w:t>
      </w:r>
      <w:r w:rsidR="00A53BC1" w:rsidRPr="004D14A5">
        <w:rPr>
          <w:vertAlign w:val="superscript"/>
          <w:lang w:val="es-MX"/>
        </w:rPr>
        <w:footnoteReference w:id="20"/>
      </w:r>
      <w:r w:rsidR="00A53BC1" w:rsidRPr="004D14A5">
        <w:rPr>
          <w:rFonts w:ascii="Arial" w:hAnsi="Arial" w:cs="Arial"/>
          <w:sz w:val="20"/>
          <w:szCs w:val="20"/>
          <w:lang w:val="es-MX"/>
        </w:rPr>
        <w:t xml:space="preserve">, en esta </w:t>
      </w:r>
      <w:r w:rsidR="004D14A5">
        <w:rPr>
          <w:rFonts w:ascii="Arial" w:hAnsi="Arial" w:cs="Arial"/>
          <w:sz w:val="20"/>
          <w:szCs w:val="20"/>
          <w:lang w:val="es-MX"/>
        </w:rPr>
        <w:t>respuesta</w:t>
      </w:r>
      <w:r w:rsidR="00A53BC1" w:rsidRPr="004D14A5">
        <w:rPr>
          <w:rFonts w:ascii="Arial" w:hAnsi="Arial" w:cs="Arial"/>
          <w:sz w:val="20"/>
          <w:szCs w:val="20"/>
          <w:lang w:val="es-MX"/>
        </w:rPr>
        <w:t xml:space="preserve"> se presenta el análisis detallado de cada una de las variables que componen tanto el modelo administrativo como el modelo operativo, mostrando el tratamient</w:t>
      </w:r>
      <w:r w:rsidR="004D14A5">
        <w:rPr>
          <w:rFonts w:ascii="Arial" w:hAnsi="Arial" w:cs="Arial"/>
          <w:sz w:val="20"/>
          <w:szCs w:val="20"/>
          <w:lang w:val="es-MX"/>
        </w:rPr>
        <w:t>o que se le aplicó a las mismas.</w:t>
      </w:r>
    </w:p>
    <w:p w14:paraId="7EA1D168" w14:textId="77777777" w:rsidR="00432A30" w:rsidRPr="004D14A5" w:rsidRDefault="00432A30" w:rsidP="004D14A5">
      <w:pPr>
        <w:pStyle w:val="Prrafodelista"/>
        <w:spacing w:after="0" w:line="240" w:lineRule="auto"/>
        <w:ind w:left="0"/>
        <w:jc w:val="both"/>
        <w:rPr>
          <w:rFonts w:ascii="Arial" w:hAnsi="Arial" w:cs="Arial"/>
          <w:sz w:val="20"/>
          <w:szCs w:val="20"/>
          <w:lang w:val="es-MX"/>
        </w:rPr>
      </w:pPr>
    </w:p>
    <w:p w14:paraId="7BAC7BFC" w14:textId="5769A4A5" w:rsidR="00432A30" w:rsidRPr="004D14A5" w:rsidRDefault="004D14A5" w:rsidP="004D14A5">
      <w:pPr>
        <w:pStyle w:val="Prrafodelista"/>
        <w:spacing w:after="0" w:line="240" w:lineRule="auto"/>
        <w:ind w:left="0"/>
        <w:jc w:val="both"/>
        <w:rPr>
          <w:rFonts w:ascii="Arial" w:hAnsi="Arial" w:cs="Arial"/>
          <w:sz w:val="20"/>
          <w:szCs w:val="20"/>
          <w:lang w:val="es-MX"/>
        </w:rPr>
      </w:pPr>
      <w:r>
        <w:rPr>
          <w:rFonts w:ascii="Arial" w:hAnsi="Arial" w:cs="Arial"/>
          <w:sz w:val="20"/>
          <w:szCs w:val="20"/>
          <w:lang w:val="es-MX"/>
        </w:rPr>
        <w:t>Ahora bien, a</w:t>
      </w:r>
      <w:r w:rsidR="00432A30" w:rsidRPr="004D14A5">
        <w:rPr>
          <w:rFonts w:ascii="Arial" w:hAnsi="Arial" w:cs="Arial"/>
          <w:sz w:val="20"/>
          <w:szCs w:val="20"/>
          <w:lang w:val="es-MX"/>
        </w:rPr>
        <w:t>unque no se requiere establecer una forma funcional para estimar el modelo de eficiencia comparativa DEA,</w:t>
      </w:r>
      <w:r>
        <w:rPr>
          <w:rFonts w:ascii="Arial" w:hAnsi="Arial" w:cs="Arial"/>
          <w:sz w:val="20"/>
          <w:szCs w:val="20"/>
          <w:lang w:val="es-MX"/>
        </w:rPr>
        <w:t xml:space="preserve"> también, </w:t>
      </w:r>
      <w:r w:rsidR="00432A30" w:rsidRPr="004D14A5">
        <w:rPr>
          <w:rFonts w:ascii="Arial" w:hAnsi="Arial" w:cs="Arial"/>
          <w:sz w:val="20"/>
          <w:szCs w:val="20"/>
          <w:lang w:val="es-MX"/>
        </w:rPr>
        <w:t>se realiza un análisis de la relación existente entre cada una de las variables, esto, con el fin de explicar el comportamiento entre el insumo y los pr</w:t>
      </w:r>
      <w:r>
        <w:rPr>
          <w:rFonts w:ascii="Arial" w:hAnsi="Arial" w:cs="Arial"/>
          <w:sz w:val="20"/>
          <w:szCs w:val="20"/>
          <w:lang w:val="es-MX"/>
        </w:rPr>
        <w:t>oductos.</w:t>
      </w:r>
    </w:p>
    <w:p w14:paraId="370610D4" w14:textId="304282B6" w:rsidR="00A53BC1" w:rsidRPr="00F7314C" w:rsidRDefault="00A53BC1" w:rsidP="00A53BC1">
      <w:pPr>
        <w:spacing w:after="0" w:line="240" w:lineRule="auto"/>
        <w:jc w:val="both"/>
        <w:rPr>
          <w:rFonts w:ascii="Arial" w:hAnsi="Arial" w:cs="Arial"/>
          <w:sz w:val="20"/>
          <w:szCs w:val="20"/>
          <w:lang w:val="es-CO"/>
        </w:rPr>
      </w:pPr>
    </w:p>
    <w:p w14:paraId="55EBF054" w14:textId="77777777" w:rsidR="0015472D" w:rsidRDefault="0015472D" w:rsidP="0015472D">
      <w:pPr>
        <w:pStyle w:val="Textoindependiente2"/>
        <w:numPr>
          <w:ilvl w:val="0"/>
          <w:numId w:val="32"/>
        </w:numPr>
        <w:spacing w:after="0" w:line="240" w:lineRule="auto"/>
        <w:jc w:val="both"/>
        <w:rPr>
          <w:rFonts w:ascii="Arial" w:hAnsi="Arial" w:cs="Arial"/>
          <w:bCs/>
          <w:iCs/>
          <w:sz w:val="20"/>
        </w:rPr>
      </w:pPr>
      <w:r>
        <w:rPr>
          <w:rFonts w:ascii="Arial" w:hAnsi="Arial" w:cs="Arial"/>
          <w:bCs/>
          <w:iCs/>
          <w:sz w:val="20"/>
        </w:rPr>
        <w:t xml:space="preserve">A continuación, se presenta el análisis efectuado para cada una de las variables que hacen parte del modelo de eficiencia comparativa administrativo: </w:t>
      </w:r>
    </w:p>
    <w:p w14:paraId="576FAC31" w14:textId="77777777" w:rsidR="0015472D" w:rsidRPr="00A34FA0" w:rsidRDefault="0015472D" w:rsidP="0015472D">
      <w:pPr>
        <w:spacing w:after="0" w:line="240" w:lineRule="auto"/>
        <w:rPr>
          <w:rFonts w:ascii="Arial" w:hAnsi="Arial" w:cs="Arial"/>
          <w:b/>
          <w:sz w:val="20"/>
          <w:szCs w:val="20"/>
        </w:rPr>
      </w:pPr>
    </w:p>
    <w:p w14:paraId="722DC04B" w14:textId="77777777" w:rsidR="0015472D" w:rsidRPr="00F7314C" w:rsidRDefault="0015472D" w:rsidP="0015472D">
      <w:pPr>
        <w:numPr>
          <w:ilvl w:val="0"/>
          <w:numId w:val="30"/>
        </w:numPr>
        <w:spacing w:after="0" w:line="240" w:lineRule="auto"/>
        <w:ind w:left="567"/>
        <w:jc w:val="both"/>
        <w:rPr>
          <w:rFonts w:ascii="Arial" w:hAnsi="Arial" w:cs="Arial"/>
          <w:sz w:val="20"/>
          <w:szCs w:val="20"/>
          <w:u w:val="single"/>
          <w:lang w:val="es-MX"/>
        </w:rPr>
      </w:pPr>
      <w:r w:rsidRPr="00F7314C">
        <w:rPr>
          <w:rFonts w:ascii="Arial" w:hAnsi="Arial" w:cs="Arial"/>
          <w:b/>
          <w:sz w:val="20"/>
          <w:szCs w:val="20"/>
          <w:lang w:val="es-MX"/>
        </w:rPr>
        <w:t>Costos administrativos:</w:t>
      </w:r>
      <w:r w:rsidRPr="00F7314C">
        <w:rPr>
          <w:rFonts w:ascii="Arial" w:hAnsi="Arial" w:cs="Arial"/>
          <w:sz w:val="20"/>
          <w:szCs w:val="20"/>
          <w:lang w:val="es-MX"/>
        </w:rPr>
        <w:t xml:space="preserve"> Están asociados a los costos administrativos en la prestación de los servicios públicos domiciliarios de acueducto y alcantarillado, definidos como </w:t>
      </w:r>
      <w:r w:rsidRPr="00F7314C">
        <w:rPr>
          <w:rFonts w:ascii="Arial" w:hAnsi="Arial" w:cs="Arial"/>
          <w:i/>
          <w:sz w:val="20"/>
          <w:szCs w:val="20"/>
          <w:lang w:val="es-MX"/>
        </w:rPr>
        <w:t>Insumo controlable</w:t>
      </w:r>
      <w:r w:rsidRPr="00F7314C">
        <w:rPr>
          <w:rFonts w:ascii="Arial" w:hAnsi="Arial" w:cs="Arial"/>
          <w:sz w:val="20"/>
          <w:szCs w:val="20"/>
          <w:lang w:val="es-MX"/>
        </w:rPr>
        <w:t>. Esta variable es depurada según los criterios establecidos en el artículo 27</w:t>
      </w:r>
      <w:r w:rsidRPr="00F7314C">
        <w:rPr>
          <w:rStyle w:val="Refdenotaalpie"/>
          <w:rFonts w:ascii="Arial" w:hAnsi="Arial" w:cs="Arial"/>
          <w:sz w:val="20"/>
          <w:szCs w:val="20"/>
          <w:lang w:val="es-CO"/>
        </w:rPr>
        <w:footnoteReference w:id="21"/>
      </w:r>
      <w:r w:rsidRPr="00F7314C">
        <w:rPr>
          <w:rFonts w:ascii="Arial" w:hAnsi="Arial" w:cs="Arial"/>
          <w:sz w:val="20"/>
          <w:szCs w:val="20"/>
          <w:lang w:val="es-MX"/>
        </w:rPr>
        <w:t xml:space="preserve"> de la Resolución CRA 688 de 2014.</w:t>
      </w:r>
    </w:p>
    <w:p w14:paraId="6036FE0C" w14:textId="77777777" w:rsidR="0015472D" w:rsidRPr="00F7314C" w:rsidRDefault="0015472D" w:rsidP="0015472D">
      <w:pPr>
        <w:spacing w:after="0" w:line="240" w:lineRule="auto"/>
        <w:ind w:left="567"/>
        <w:jc w:val="both"/>
        <w:rPr>
          <w:rFonts w:ascii="Arial" w:hAnsi="Arial" w:cs="Arial"/>
          <w:b/>
          <w:sz w:val="20"/>
          <w:szCs w:val="20"/>
          <w:lang w:val="es-MX"/>
        </w:rPr>
      </w:pPr>
    </w:p>
    <w:p w14:paraId="38BCF57E" w14:textId="77777777" w:rsidR="0015472D" w:rsidRPr="00F7314C" w:rsidRDefault="0015472D" w:rsidP="0015472D">
      <w:pPr>
        <w:spacing w:after="0" w:line="240" w:lineRule="auto"/>
        <w:ind w:left="567"/>
        <w:jc w:val="both"/>
        <w:rPr>
          <w:rFonts w:ascii="Arial" w:hAnsi="Arial" w:cs="Arial"/>
          <w:sz w:val="20"/>
          <w:szCs w:val="20"/>
          <w:u w:val="single"/>
          <w:lang w:val="es-MX"/>
        </w:rPr>
      </w:pPr>
      <w:r w:rsidRPr="00F7314C">
        <w:rPr>
          <w:rFonts w:ascii="Arial" w:hAnsi="Arial" w:cs="Arial"/>
          <w:sz w:val="20"/>
          <w:szCs w:val="20"/>
          <w:lang w:val="es-MX"/>
        </w:rPr>
        <w:t>De igual forma, se debe aclarar que para la estimación de los puntajes DEA, se incluyó el valor de la depreciación anual de los activos administrativos propiedad de la persona prestadora más la remuneración de los activos administrativos de propiedad de la persona prestadora,</w:t>
      </w:r>
      <w:r w:rsidRPr="00F7314C" w:rsidDel="00B97A54">
        <w:rPr>
          <w:rFonts w:ascii="Arial" w:hAnsi="Arial" w:cs="Arial"/>
          <w:sz w:val="20"/>
          <w:szCs w:val="20"/>
          <w:lang w:val="es-MX"/>
        </w:rPr>
        <w:t xml:space="preserve"> </w:t>
      </w:r>
      <w:r w:rsidRPr="00F7314C">
        <w:rPr>
          <w:rFonts w:ascii="Arial" w:hAnsi="Arial" w:cs="Arial"/>
          <w:sz w:val="20"/>
          <w:szCs w:val="20"/>
          <w:lang w:val="es-MX"/>
        </w:rPr>
        <w:t>con el factor establecido en la metodología</w:t>
      </w:r>
      <w:r w:rsidRPr="00F7314C">
        <w:rPr>
          <w:rStyle w:val="Refdenotaalpie"/>
          <w:rFonts w:ascii="Arial" w:hAnsi="Arial" w:cs="Arial"/>
          <w:sz w:val="20"/>
          <w:szCs w:val="20"/>
          <w:lang w:val="es-CO"/>
        </w:rPr>
        <w:footnoteReference w:id="22"/>
      </w:r>
      <w:r w:rsidRPr="00F7314C">
        <w:rPr>
          <w:rFonts w:ascii="Arial" w:hAnsi="Arial" w:cs="Arial"/>
          <w:sz w:val="20"/>
          <w:szCs w:val="20"/>
          <w:lang w:val="es-MX"/>
        </w:rPr>
        <w:t xml:space="preserve">. </w:t>
      </w:r>
    </w:p>
    <w:p w14:paraId="4422A22A" w14:textId="77777777" w:rsidR="0015472D" w:rsidRPr="00F7314C" w:rsidRDefault="0015472D" w:rsidP="0015472D">
      <w:pPr>
        <w:spacing w:after="0" w:line="240" w:lineRule="auto"/>
        <w:ind w:left="567"/>
        <w:jc w:val="both"/>
        <w:rPr>
          <w:rFonts w:ascii="Arial" w:hAnsi="Arial" w:cs="Arial"/>
          <w:sz w:val="20"/>
          <w:szCs w:val="20"/>
          <w:u w:val="single"/>
          <w:lang w:val="es-MX"/>
        </w:rPr>
      </w:pPr>
    </w:p>
    <w:p w14:paraId="7FB3F25B" w14:textId="77777777" w:rsidR="0015472D" w:rsidRPr="00F7314C" w:rsidRDefault="0015472D" w:rsidP="0015472D">
      <w:pPr>
        <w:numPr>
          <w:ilvl w:val="0"/>
          <w:numId w:val="30"/>
        </w:numPr>
        <w:spacing w:after="0" w:line="240" w:lineRule="auto"/>
        <w:ind w:left="567"/>
        <w:jc w:val="both"/>
        <w:rPr>
          <w:rFonts w:ascii="Arial" w:hAnsi="Arial" w:cs="Arial"/>
          <w:sz w:val="20"/>
          <w:szCs w:val="20"/>
          <w:u w:val="single"/>
          <w:lang w:val="es-MX"/>
        </w:rPr>
      </w:pPr>
      <w:r w:rsidRPr="00F7314C">
        <w:rPr>
          <w:rFonts w:ascii="Arial" w:hAnsi="Arial" w:cs="Arial"/>
          <w:b/>
          <w:sz w:val="20"/>
          <w:szCs w:val="20"/>
          <w:lang w:val="es-MX"/>
        </w:rPr>
        <w:t xml:space="preserve">Número de suscriptores de acueducto y alcantarillado: </w:t>
      </w:r>
      <w:r w:rsidRPr="00F7314C">
        <w:rPr>
          <w:rFonts w:ascii="Arial" w:hAnsi="Arial" w:cs="Arial"/>
          <w:sz w:val="20"/>
          <w:szCs w:val="20"/>
          <w:lang w:val="es-MX"/>
        </w:rPr>
        <w:t>La relación de estas variables con respecto a los costos administrativos es directa, ya que al aumentar el número de suscriptores atendidos en los servicios de acueducto y/o alcantarillado se incrementan los costos.</w:t>
      </w:r>
    </w:p>
    <w:p w14:paraId="356589BE" w14:textId="77777777" w:rsidR="0015472D" w:rsidRPr="00F7314C" w:rsidRDefault="0015472D" w:rsidP="0015472D">
      <w:pPr>
        <w:pStyle w:val="Prrafodelista"/>
        <w:spacing w:after="0" w:line="240" w:lineRule="auto"/>
        <w:ind w:left="567"/>
        <w:rPr>
          <w:rFonts w:ascii="Arial" w:hAnsi="Arial" w:cs="Arial"/>
          <w:sz w:val="20"/>
          <w:szCs w:val="20"/>
          <w:u w:val="single"/>
          <w:lang w:val="es-MX"/>
        </w:rPr>
      </w:pPr>
    </w:p>
    <w:p w14:paraId="1361FB18" w14:textId="77777777" w:rsidR="0015472D" w:rsidRPr="00F7314C" w:rsidRDefault="0015472D" w:rsidP="0015472D">
      <w:pPr>
        <w:numPr>
          <w:ilvl w:val="0"/>
          <w:numId w:val="30"/>
        </w:numPr>
        <w:spacing w:after="0" w:line="240" w:lineRule="auto"/>
        <w:ind w:left="567"/>
        <w:jc w:val="both"/>
        <w:rPr>
          <w:rFonts w:ascii="Arial" w:hAnsi="Arial" w:cs="Arial"/>
          <w:sz w:val="20"/>
          <w:szCs w:val="20"/>
          <w:u w:val="single"/>
          <w:lang w:val="es-MX"/>
        </w:rPr>
      </w:pPr>
      <w:r w:rsidRPr="00F7314C">
        <w:rPr>
          <w:rFonts w:ascii="Arial" w:hAnsi="Arial" w:cs="Arial"/>
          <w:b/>
          <w:sz w:val="20"/>
          <w:szCs w:val="20"/>
          <w:lang w:val="es-MX"/>
        </w:rPr>
        <w:t xml:space="preserve">Número de suscriptores con micromedición efectiva: </w:t>
      </w:r>
      <w:r w:rsidRPr="00F7314C">
        <w:rPr>
          <w:rFonts w:ascii="Arial" w:hAnsi="Arial" w:cs="Arial"/>
          <w:sz w:val="20"/>
          <w:szCs w:val="20"/>
          <w:lang w:val="es-MX"/>
        </w:rPr>
        <w:t>Esta variable es incluida al modelo con relación directa, debido a que</w:t>
      </w:r>
      <w:r w:rsidRPr="00F7314C">
        <w:rPr>
          <w:rFonts w:ascii="Arial" w:hAnsi="Arial" w:cs="Arial"/>
          <w:b/>
          <w:sz w:val="20"/>
          <w:szCs w:val="20"/>
          <w:lang w:val="es-MX"/>
        </w:rPr>
        <w:t xml:space="preserve"> l</w:t>
      </w:r>
      <w:r w:rsidRPr="00F7314C">
        <w:rPr>
          <w:rFonts w:ascii="Arial" w:hAnsi="Arial" w:cs="Arial"/>
          <w:sz w:val="20"/>
          <w:szCs w:val="20"/>
          <w:lang w:val="es-MX"/>
        </w:rPr>
        <w:t xml:space="preserve">os suscriptores con micromedición requieren de procesos de comercialización (administración) que generan mayores costos administrativos para los prestadores, en contraste con que aquellos usuarios que no cuentan con micromedición. </w:t>
      </w:r>
    </w:p>
    <w:p w14:paraId="30EA7C9F" w14:textId="77777777" w:rsidR="0015472D" w:rsidRPr="00F7314C" w:rsidRDefault="0015472D" w:rsidP="0015472D">
      <w:pPr>
        <w:pStyle w:val="Prrafodelista"/>
        <w:spacing w:after="0" w:line="240" w:lineRule="auto"/>
        <w:ind w:left="567"/>
        <w:rPr>
          <w:rFonts w:ascii="Arial" w:hAnsi="Arial" w:cs="Arial"/>
          <w:sz w:val="20"/>
          <w:szCs w:val="20"/>
          <w:u w:val="single"/>
          <w:lang w:val="es-MX"/>
        </w:rPr>
      </w:pPr>
    </w:p>
    <w:p w14:paraId="2EBB9C61" w14:textId="77777777" w:rsidR="0015472D" w:rsidRPr="00F7314C" w:rsidRDefault="0015472D" w:rsidP="0015472D">
      <w:pPr>
        <w:numPr>
          <w:ilvl w:val="0"/>
          <w:numId w:val="30"/>
        </w:numPr>
        <w:spacing w:after="0" w:line="240" w:lineRule="auto"/>
        <w:ind w:left="567"/>
        <w:jc w:val="both"/>
        <w:rPr>
          <w:rFonts w:ascii="Arial" w:hAnsi="Arial" w:cs="Arial"/>
          <w:sz w:val="20"/>
          <w:szCs w:val="20"/>
          <w:u w:val="single"/>
          <w:lang w:val="es-MX"/>
        </w:rPr>
      </w:pPr>
      <w:r w:rsidRPr="00F7314C">
        <w:rPr>
          <w:rFonts w:ascii="Arial" w:eastAsia="Times New Roman" w:hAnsi="Arial" w:cs="Arial"/>
          <w:b/>
          <w:bCs/>
          <w:sz w:val="20"/>
          <w:szCs w:val="20"/>
          <w:lang w:val="es-CO" w:eastAsia="es-CO"/>
        </w:rPr>
        <w:t xml:space="preserve">Número de suscriptores de estratos 1 y 2: </w:t>
      </w:r>
      <w:r w:rsidRPr="00F7314C">
        <w:rPr>
          <w:rFonts w:ascii="Arial" w:hAnsi="Arial" w:cs="Arial"/>
          <w:sz w:val="20"/>
          <w:szCs w:val="20"/>
          <w:lang w:val="es-MX"/>
        </w:rPr>
        <w:t xml:space="preserve">La relación de esta variable con respecto a los costos administrativos es directa, ya que al aumentar el número de suscriptores de estratos 1 y 2 de acueducto y/o alcantarillado se incrementan los costos por la mayor demanda administrativa que puede generar la atención a este número de suscriptores. </w:t>
      </w:r>
    </w:p>
    <w:p w14:paraId="6E6B0D0D" w14:textId="77777777" w:rsidR="0015472D" w:rsidRPr="00F7314C" w:rsidRDefault="0015472D" w:rsidP="0015472D">
      <w:pPr>
        <w:spacing w:after="0" w:line="240" w:lineRule="auto"/>
        <w:ind w:left="567"/>
        <w:jc w:val="both"/>
        <w:rPr>
          <w:rFonts w:ascii="Arial" w:hAnsi="Arial" w:cs="Arial"/>
          <w:sz w:val="20"/>
          <w:szCs w:val="20"/>
          <w:u w:val="single"/>
          <w:lang w:val="es-MX"/>
        </w:rPr>
      </w:pPr>
    </w:p>
    <w:p w14:paraId="1BE0A76F" w14:textId="77777777" w:rsidR="0015472D" w:rsidRPr="00A600B5" w:rsidRDefault="0015472D" w:rsidP="0015472D">
      <w:pPr>
        <w:numPr>
          <w:ilvl w:val="0"/>
          <w:numId w:val="30"/>
        </w:numPr>
        <w:spacing w:after="0" w:line="240" w:lineRule="auto"/>
        <w:ind w:left="567"/>
        <w:jc w:val="both"/>
        <w:rPr>
          <w:rFonts w:ascii="Arial" w:hAnsi="Arial" w:cs="Arial"/>
          <w:b/>
          <w:sz w:val="20"/>
          <w:szCs w:val="20"/>
          <w:lang w:val="es-MX"/>
        </w:rPr>
      </w:pPr>
      <w:r w:rsidRPr="00F7314C">
        <w:rPr>
          <w:rFonts w:ascii="Arial" w:hAnsi="Arial" w:cs="Arial"/>
          <w:b/>
          <w:sz w:val="20"/>
          <w:szCs w:val="20"/>
          <w:lang w:val="es-MX"/>
        </w:rPr>
        <w:t xml:space="preserve">Número de suscriptores industriales y comerciales: </w:t>
      </w:r>
      <w:r w:rsidRPr="00F7314C">
        <w:rPr>
          <w:rFonts w:ascii="Arial" w:hAnsi="Arial" w:cs="Arial"/>
          <w:sz w:val="20"/>
          <w:szCs w:val="20"/>
          <w:lang w:val="es-MX"/>
        </w:rPr>
        <w:t xml:space="preserve">La relación de esta variable con respecto a los costos administrativos es directa, ya que, aunque los prestadores empleen un menor esfuerzo en recaudo y atención para esta clase de suscriptores, no significa que la conexión de un suscriptor industrial o comercial haga que los costos administrativos disminuyan. En otras palabras, aunque el incremento de los costos que genera este tipo de suscriptores sea </w:t>
      </w:r>
      <w:r>
        <w:rPr>
          <w:rFonts w:ascii="Arial" w:hAnsi="Arial" w:cs="Arial"/>
          <w:sz w:val="20"/>
          <w:szCs w:val="20"/>
          <w:lang w:val="es-MX"/>
        </w:rPr>
        <w:t xml:space="preserve">en </w:t>
      </w:r>
      <w:r w:rsidRPr="00F7314C">
        <w:rPr>
          <w:rFonts w:ascii="Arial" w:hAnsi="Arial" w:cs="Arial"/>
          <w:sz w:val="20"/>
          <w:szCs w:val="20"/>
          <w:lang w:val="es-MX"/>
        </w:rPr>
        <w:t>menor proporción a</w:t>
      </w:r>
      <w:r>
        <w:rPr>
          <w:rFonts w:ascii="Arial" w:hAnsi="Arial" w:cs="Arial"/>
          <w:sz w:val="20"/>
          <w:szCs w:val="20"/>
          <w:lang w:val="es-MX"/>
        </w:rPr>
        <w:t xml:space="preserve">l incremento en los costos </w:t>
      </w:r>
      <w:r w:rsidRPr="00F7314C">
        <w:rPr>
          <w:rFonts w:ascii="Arial" w:hAnsi="Arial" w:cs="Arial"/>
          <w:sz w:val="20"/>
          <w:szCs w:val="20"/>
          <w:lang w:val="es-MX"/>
        </w:rPr>
        <w:t xml:space="preserve">de los suscriptores residenciales, en particular suscriptores de estrato 1 y 2; no hace que el tratamiento de la variable tenga una relación inversa con el insumo.  </w:t>
      </w:r>
    </w:p>
    <w:p w14:paraId="1483FC9B" w14:textId="77777777" w:rsidR="0015472D" w:rsidRPr="00F7314C" w:rsidRDefault="0015472D" w:rsidP="0015472D">
      <w:pPr>
        <w:spacing w:after="0" w:line="240" w:lineRule="auto"/>
        <w:ind w:left="567"/>
        <w:jc w:val="both"/>
        <w:rPr>
          <w:rFonts w:ascii="Arial" w:hAnsi="Arial" w:cs="Arial"/>
          <w:b/>
          <w:sz w:val="20"/>
          <w:szCs w:val="20"/>
          <w:lang w:val="es-MX"/>
        </w:rPr>
      </w:pPr>
    </w:p>
    <w:p w14:paraId="267E9163" w14:textId="77777777" w:rsidR="0015472D" w:rsidRPr="00F7314C" w:rsidRDefault="0015472D" w:rsidP="0015472D">
      <w:pPr>
        <w:spacing w:after="0" w:line="240" w:lineRule="auto"/>
        <w:jc w:val="both"/>
        <w:rPr>
          <w:rFonts w:ascii="Arial" w:hAnsi="Arial" w:cs="Arial"/>
          <w:sz w:val="20"/>
          <w:szCs w:val="20"/>
          <w:lang w:val="es-MX"/>
        </w:rPr>
      </w:pPr>
      <w:r w:rsidRPr="00F7314C">
        <w:rPr>
          <w:rFonts w:ascii="Arial" w:hAnsi="Arial" w:cs="Arial"/>
          <w:sz w:val="20"/>
          <w:szCs w:val="20"/>
          <w:lang w:val="es-MX"/>
        </w:rPr>
        <w:lastRenderedPageBreak/>
        <w:t>Las variables que se incluyen en el modelo como productos recogen información del tamaño del mercado atendido por las personas prestadoras, es decir, la administración y el nivel de gestión de los servicios de acueducto y alcantarillado a un número de suscriptores. La combinación de estas variables permite examinar las características de una persona prestadora con respecto a las otras.</w:t>
      </w:r>
    </w:p>
    <w:p w14:paraId="609C5CF4" w14:textId="77777777" w:rsidR="0015472D" w:rsidRPr="00F7314C" w:rsidRDefault="0015472D" w:rsidP="0015472D">
      <w:pPr>
        <w:spacing w:after="0" w:line="240" w:lineRule="auto"/>
        <w:ind w:left="852" w:hanging="284"/>
        <w:jc w:val="both"/>
        <w:rPr>
          <w:rFonts w:ascii="Arial" w:hAnsi="Arial" w:cs="Arial"/>
          <w:sz w:val="20"/>
          <w:szCs w:val="20"/>
          <w:lang w:val="es-MX"/>
        </w:rPr>
      </w:pPr>
    </w:p>
    <w:p w14:paraId="69A6DC3F" w14:textId="75938082" w:rsidR="0015472D" w:rsidRPr="00F7314C" w:rsidRDefault="0015472D" w:rsidP="0015472D">
      <w:pPr>
        <w:pStyle w:val="Epgrafe1"/>
        <w:spacing w:after="0" w:line="240" w:lineRule="auto"/>
        <w:jc w:val="center"/>
        <w:rPr>
          <w:rFonts w:ascii="Arial" w:hAnsi="Arial" w:cs="Arial"/>
          <w:lang w:val="es-MX"/>
        </w:rPr>
      </w:pPr>
      <w:bookmarkStart w:id="23" w:name="_Toc492664383"/>
      <w:bookmarkStart w:id="24" w:name="_Toc506988569"/>
      <w:r w:rsidRPr="00F7314C">
        <w:rPr>
          <w:rFonts w:ascii="Arial" w:hAnsi="Arial" w:cs="Arial"/>
        </w:rPr>
        <w:t xml:space="preserve">Tabla </w:t>
      </w:r>
      <w:r w:rsidRPr="00F7314C">
        <w:rPr>
          <w:rFonts w:ascii="Arial" w:hAnsi="Arial" w:cs="Arial"/>
        </w:rPr>
        <w:fldChar w:fldCharType="begin"/>
      </w:r>
      <w:r w:rsidRPr="00F7314C">
        <w:rPr>
          <w:rFonts w:ascii="Arial" w:hAnsi="Arial" w:cs="Arial"/>
        </w:rPr>
        <w:instrText xml:space="preserve"> SEQ Tabla \* ARABIC </w:instrText>
      </w:r>
      <w:r w:rsidRPr="00F7314C">
        <w:rPr>
          <w:rFonts w:ascii="Arial" w:hAnsi="Arial" w:cs="Arial"/>
        </w:rPr>
        <w:fldChar w:fldCharType="separate"/>
      </w:r>
      <w:r w:rsidR="004C0CEB">
        <w:rPr>
          <w:rFonts w:ascii="Arial" w:hAnsi="Arial" w:cs="Arial"/>
          <w:noProof/>
        </w:rPr>
        <w:t>6</w:t>
      </w:r>
      <w:r w:rsidRPr="00F7314C">
        <w:rPr>
          <w:rFonts w:ascii="Arial" w:hAnsi="Arial" w:cs="Arial"/>
        </w:rPr>
        <w:fldChar w:fldCharType="end"/>
      </w:r>
      <w:r w:rsidRPr="00F7314C">
        <w:rPr>
          <w:rFonts w:ascii="Arial" w:hAnsi="Arial" w:cs="Arial"/>
        </w:rPr>
        <w:t xml:space="preserve">. </w:t>
      </w:r>
      <w:r w:rsidRPr="00F7314C">
        <w:rPr>
          <w:rFonts w:ascii="Arial" w:hAnsi="Arial" w:cs="Arial"/>
          <w:lang w:val="es-MX"/>
        </w:rPr>
        <w:t>Relación de las variables respecto del insumo</w:t>
      </w:r>
      <w:bookmarkEnd w:id="23"/>
      <w:bookmarkEnd w:id="24"/>
      <w:r w:rsidRPr="00F7314C">
        <w:rPr>
          <w:rFonts w:ascii="Arial" w:hAnsi="Arial" w:cs="Arial"/>
          <w:lang w:val="es-MX"/>
        </w:rPr>
        <w:t xml:space="preserve"> </w:t>
      </w:r>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497"/>
        <w:gridCol w:w="1247"/>
        <w:gridCol w:w="1367"/>
      </w:tblGrid>
      <w:tr w:rsidR="0015472D" w:rsidRPr="00F7314C" w14:paraId="1515AD88" w14:textId="77777777" w:rsidTr="0015472D">
        <w:trPr>
          <w:trHeight w:val="300"/>
          <w:jc w:val="center"/>
        </w:trPr>
        <w:tc>
          <w:tcPr>
            <w:tcW w:w="0" w:type="auto"/>
            <w:tcBorders>
              <w:bottom w:val="single" w:sz="12" w:space="0" w:color="9CC2E5"/>
            </w:tcBorders>
            <w:shd w:val="clear" w:color="auto" w:fill="auto"/>
            <w:noWrap/>
            <w:vAlign w:val="center"/>
            <w:hideMark/>
          </w:tcPr>
          <w:p w14:paraId="415C5466" w14:textId="77777777" w:rsidR="0015472D" w:rsidRPr="00F7314C" w:rsidRDefault="0015472D" w:rsidP="0015472D">
            <w:pPr>
              <w:suppressAutoHyphens w:val="0"/>
              <w:spacing w:after="0" w:line="240" w:lineRule="auto"/>
              <w:jc w:val="center"/>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Variable</w:t>
            </w:r>
          </w:p>
        </w:tc>
        <w:tc>
          <w:tcPr>
            <w:tcW w:w="0" w:type="auto"/>
            <w:tcBorders>
              <w:bottom w:val="single" w:sz="12" w:space="0" w:color="9CC2E5"/>
            </w:tcBorders>
            <w:shd w:val="clear" w:color="auto" w:fill="auto"/>
            <w:noWrap/>
            <w:vAlign w:val="center"/>
            <w:hideMark/>
          </w:tcPr>
          <w:p w14:paraId="0E1E9C08" w14:textId="77777777" w:rsidR="0015472D" w:rsidRPr="00F7314C" w:rsidRDefault="0015472D" w:rsidP="0015472D">
            <w:pPr>
              <w:suppressAutoHyphens w:val="0"/>
              <w:spacing w:after="0" w:line="240" w:lineRule="auto"/>
              <w:jc w:val="center"/>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Descripción</w:t>
            </w:r>
          </w:p>
        </w:tc>
        <w:tc>
          <w:tcPr>
            <w:tcW w:w="1367" w:type="dxa"/>
            <w:tcBorders>
              <w:bottom w:val="single" w:sz="12" w:space="0" w:color="9CC2E5"/>
            </w:tcBorders>
            <w:shd w:val="clear" w:color="auto" w:fill="auto"/>
            <w:noWrap/>
            <w:vAlign w:val="center"/>
            <w:hideMark/>
          </w:tcPr>
          <w:p w14:paraId="4754A39E" w14:textId="77777777" w:rsidR="0015472D" w:rsidRPr="00F7314C" w:rsidRDefault="0015472D" w:rsidP="0015472D">
            <w:pPr>
              <w:suppressAutoHyphens w:val="0"/>
              <w:spacing w:after="0" w:line="240" w:lineRule="auto"/>
              <w:jc w:val="center"/>
              <w:rPr>
                <w:rFonts w:ascii="Arial" w:eastAsia="Times New Roman" w:hAnsi="Arial" w:cs="Arial"/>
                <w:b/>
                <w:bCs/>
                <w:sz w:val="18"/>
                <w:szCs w:val="18"/>
                <w:lang w:val="es-CO" w:eastAsia="es-CO"/>
              </w:rPr>
            </w:pPr>
            <w:r>
              <w:rPr>
                <w:rFonts w:ascii="Arial" w:eastAsia="Times New Roman" w:hAnsi="Arial" w:cs="Arial"/>
                <w:b/>
                <w:bCs/>
                <w:sz w:val="18"/>
                <w:szCs w:val="18"/>
                <w:lang w:val="es-CO" w:eastAsia="es-CO"/>
              </w:rPr>
              <w:t>Relación</w:t>
            </w:r>
          </w:p>
        </w:tc>
      </w:tr>
      <w:tr w:rsidR="0015472D" w:rsidRPr="00F7314C" w14:paraId="6EA94DF4" w14:textId="77777777" w:rsidTr="0015472D">
        <w:trPr>
          <w:trHeight w:val="300"/>
          <w:jc w:val="center"/>
        </w:trPr>
        <w:tc>
          <w:tcPr>
            <w:tcW w:w="0" w:type="auto"/>
            <w:shd w:val="clear" w:color="auto" w:fill="DEEAF6"/>
            <w:noWrap/>
            <w:hideMark/>
          </w:tcPr>
          <w:p w14:paraId="7BAEF8AB"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Costos Administrativos</w:t>
            </w:r>
          </w:p>
        </w:tc>
        <w:tc>
          <w:tcPr>
            <w:tcW w:w="0" w:type="auto"/>
            <w:shd w:val="clear" w:color="auto" w:fill="DEEAF6"/>
            <w:noWrap/>
            <w:hideMark/>
          </w:tcPr>
          <w:p w14:paraId="0286B628"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Insumo</w:t>
            </w:r>
          </w:p>
        </w:tc>
        <w:tc>
          <w:tcPr>
            <w:tcW w:w="1367" w:type="dxa"/>
            <w:shd w:val="clear" w:color="auto" w:fill="DEEAF6"/>
            <w:noWrap/>
            <w:hideMark/>
          </w:tcPr>
          <w:p w14:paraId="0506BDBA" w14:textId="32C06E43" w:rsidR="0015472D" w:rsidRPr="00F7314C" w:rsidRDefault="0015472D" w:rsidP="0015472D">
            <w:pPr>
              <w:suppressAutoHyphens w:val="0"/>
              <w:spacing w:after="0" w:line="240" w:lineRule="auto"/>
              <w:jc w:val="center"/>
              <w:rPr>
                <w:rFonts w:ascii="Arial" w:eastAsia="Times New Roman" w:hAnsi="Arial" w:cs="Arial"/>
                <w:bCs/>
                <w:sz w:val="18"/>
                <w:szCs w:val="18"/>
                <w:lang w:val="es-CO" w:eastAsia="es-CO"/>
              </w:rPr>
            </w:pPr>
            <w:r w:rsidRPr="00F7314C">
              <w:rPr>
                <w:rFonts w:ascii="Arial" w:eastAsia="Times New Roman" w:hAnsi="Arial" w:cs="Arial"/>
                <w:bCs/>
                <w:sz w:val="18"/>
                <w:szCs w:val="18"/>
                <w:lang w:val="es-CO" w:eastAsia="es-CO"/>
              </w:rPr>
              <w:t>N</w:t>
            </w:r>
            <w:r>
              <w:rPr>
                <w:rFonts w:ascii="Arial" w:eastAsia="Times New Roman" w:hAnsi="Arial" w:cs="Arial"/>
                <w:bCs/>
                <w:sz w:val="18"/>
                <w:szCs w:val="18"/>
                <w:lang w:val="es-CO" w:eastAsia="es-CO"/>
              </w:rPr>
              <w:t>o aplica</w:t>
            </w:r>
          </w:p>
        </w:tc>
      </w:tr>
      <w:tr w:rsidR="0015472D" w:rsidRPr="00F7314C" w14:paraId="3EA029DA" w14:textId="77777777" w:rsidTr="0015472D">
        <w:trPr>
          <w:trHeight w:val="300"/>
          <w:jc w:val="center"/>
        </w:trPr>
        <w:tc>
          <w:tcPr>
            <w:tcW w:w="0" w:type="auto"/>
            <w:shd w:val="clear" w:color="auto" w:fill="auto"/>
            <w:noWrap/>
            <w:hideMark/>
          </w:tcPr>
          <w:p w14:paraId="7020821D"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Suscriptores Acueducto</w:t>
            </w:r>
          </w:p>
        </w:tc>
        <w:tc>
          <w:tcPr>
            <w:tcW w:w="0" w:type="auto"/>
            <w:shd w:val="clear" w:color="auto" w:fill="auto"/>
            <w:noWrap/>
            <w:hideMark/>
          </w:tcPr>
          <w:p w14:paraId="2A2C869A"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Producto</w:t>
            </w:r>
          </w:p>
        </w:tc>
        <w:tc>
          <w:tcPr>
            <w:tcW w:w="1367" w:type="dxa"/>
            <w:shd w:val="clear" w:color="auto" w:fill="auto"/>
            <w:noWrap/>
            <w:hideMark/>
          </w:tcPr>
          <w:p w14:paraId="0934835D"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sidRPr="00F7314C">
              <w:rPr>
                <w:rFonts w:ascii="Arial" w:eastAsia="Times New Roman" w:hAnsi="Arial" w:cs="Arial"/>
                <w:sz w:val="18"/>
                <w:szCs w:val="18"/>
                <w:lang w:val="es-CO" w:eastAsia="es-CO"/>
              </w:rPr>
              <w:t>Directa</w:t>
            </w:r>
          </w:p>
        </w:tc>
      </w:tr>
      <w:tr w:rsidR="0015472D" w:rsidRPr="00F7314C" w14:paraId="3EDC9696" w14:textId="77777777" w:rsidTr="0015472D">
        <w:trPr>
          <w:trHeight w:val="300"/>
          <w:jc w:val="center"/>
        </w:trPr>
        <w:tc>
          <w:tcPr>
            <w:tcW w:w="0" w:type="auto"/>
            <w:shd w:val="clear" w:color="auto" w:fill="DEEAF6"/>
            <w:noWrap/>
            <w:hideMark/>
          </w:tcPr>
          <w:p w14:paraId="21726A56"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Suscriptores Alcantarillado</w:t>
            </w:r>
          </w:p>
        </w:tc>
        <w:tc>
          <w:tcPr>
            <w:tcW w:w="0" w:type="auto"/>
            <w:shd w:val="clear" w:color="auto" w:fill="DEEAF6"/>
            <w:noWrap/>
            <w:hideMark/>
          </w:tcPr>
          <w:p w14:paraId="3D662C6D"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 xml:space="preserve">Producto </w:t>
            </w:r>
          </w:p>
        </w:tc>
        <w:tc>
          <w:tcPr>
            <w:tcW w:w="1367" w:type="dxa"/>
            <w:shd w:val="clear" w:color="auto" w:fill="DEEAF6"/>
            <w:noWrap/>
            <w:hideMark/>
          </w:tcPr>
          <w:p w14:paraId="13C31A82"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sidRPr="00F7314C">
              <w:rPr>
                <w:rFonts w:ascii="Arial" w:eastAsia="Times New Roman" w:hAnsi="Arial" w:cs="Arial"/>
                <w:sz w:val="18"/>
                <w:szCs w:val="18"/>
                <w:lang w:val="es-CO" w:eastAsia="es-CO"/>
              </w:rPr>
              <w:t>Directa</w:t>
            </w:r>
          </w:p>
        </w:tc>
      </w:tr>
      <w:tr w:rsidR="0015472D" w:rsidRPr="00F7314C" w14:paraId="08CA5AD7" w14:textId="77777777" w:rsidTr="0015472D">
        <w:trPr>
          <w:trHeight w:val="300"/>
          <w:jc w:val="center"/>
        </w:trPr>
        <w:tc>
          <w:tcPr>
            <w:tcW w:w="0" w:type="auto"/>
            <w:shd w:val="clear" w:color="auto" w:fill="auto"/>
            <w:noWrap/>
            <w:hideMark/>
          </w:tcPr>
          <w:p w14:paraId="2F89DC86"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Suscriptores con Micromedidores en buen estado</w:t>
            </w:r>
          </w:p>
        </w:tc>
        <w:tc>
          <w:tcPr>
            <w:tcW w:w="0" w:type="auto"/>
            <w:shd w:val="clear" w:color="auto" w:fill="auto"/>
            <w:noWrap/>
            <w:hideMark/>
          </w:tcPr>
          <w:p w14:paraId="56DDC6F6"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Producto</w:t>
            </w:r>
          </w:p>
        </w:tc>
        <w:tc>
          <w:tcPr>
            <w:tcW w:w="1367" w:type="dxa"/>
            <w:shd w:val="clear" w:color="auto" w:fill="auto"/>
            <w:noWrap/>
            <w:hideMark/>
          </w:tcPr>
          <w:p w14:paraId="1526B3BF"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sidRPr="00F7314C">
              <w:rPr>
                <w:rFonts w:ascii="Arial" w:eastAsia="Times New Roman" w:hAnsi="Arial" w:cs="Arial"/>
                <w:sz w:val="18"/>
                <w:szCs w:val="18"/>
                <w:lang w:val="es-CO" w:eastAsia="es-CO"/>
              </w:rPr>
              <w:t>Directa</w:t>
            </w:r>
          </w:p>
        </w:tc>
      </w:tr>
      <w:tr w:rsidR="0015472D" w:rsidRPr="00F7314C" w14:paraId="6FFA86EB" w14:textId="77777777" w:rsidTr="0015472D">
        <w:trPr>
          <w:trHeight w:val="300"/>
          <w:jc w:val="center"/>
        </w:trPr>
        <w:tc>
          <w:tcPr>
            <w:tcW w:w="0" w:type="auto"/>
            <w:shd w:val="clear" w:color="auto" w:fill="DEEAF6"/>
            <w:noWrap/>
            <w:hideMark/>
          </w:tcPr>
          <w:p w14:paraId="560BA346"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 xml:space="preserve">Suscriptores Estratos 1 y 2 </w:t>
            </w:r>
          </w:p>
        </w:tc>
        <w:tc>
          <w:tcPr>
            <w:tcW w:w="0" w:type="auto"/>
            <w:shd w:val="clear" w:color="auto" w:fill="DEEAF6"/>
            <w:noWrap/>
            <w:hideMark/>
          </w:tcPr>
          <w:p w14:paraId="1783A4FA"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Producto</w:t>
            </w:r>
          </w:p>
        </w:tc>
        <w:tc>
          <w:tcPr>
            <w:tcW w:w="1367" w:type="dxa"/>
            <w:shd w:val="clear" w:color="auto" w:fill="DEEAF6"/>
            <w:noWrap/>
            <w:hideMark/>
          </w:tcPr>
          <w:p w14:paraId="305CB78E"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sidRPr="00F7314C">
              <w:rPr>
                <w:rFonts w:ascii="Arial" w:eastAsia="Times New Roman" w:hAnsi="Arial" w:cs="Arial"/>
                <w:sz w:val="18"/>
                <w:szCs w:val="18"/>
                <w:lang w:val="es-CO" w:eastAsia="es-CO"/>
              </w:rPr>
              <w:t>Directa</w:t>
            </w:r>
          </w:p>
        </w:tc>
      </w:tr>
      <w:tr w:rsidR="0015472D" w:rsidRPr="00F7314C" w14:paraId="5CF5B59F" w14:textId="77777777" w:rsidTr="0015472D">
        <w:trPr>
          <w:trHeight w:val="300"/>
          <w:jc w:val="center"/>
        </w:trPr>
        <w:tc>
          <w:tcPr>
            <w:tcW w:w="0" w:type="auto"/>
            <w:shd w:val="clear" w:color="auto" w:fill="auto"/>
            <w:noWrap/>
            <w:hideMark/>
          </w:tcPr>
          <w:p w14:paraId="7916D862"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Suscriptores Industriales y Comerciales</w:t>
            </w:r>
          </w:p>
        </w:tc>
        <w:tc>
          <w:tcPr>
            <w:tcW w:w="0" w:type="auto"/>
            <w:shd w:val="clear" w:color="auto" w:fill="auto"/>
            <w:noWrap/>
            <w:hideMark/>
          </w:tcPr>
          <w:p w14:paraId="7C7820E8"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 xml:space="preserve">Producto </w:t>
            </w:r>
          </w:p>
        </w:tc>
        <w:tc>
          <w:tcPr>
            <w:tcW w:w="1367" w:type="dxa"/>
            <w:shd w:val="clear" w:color="auto" w:fill="auto"/>
            <w:noWrap/>
            <w:vAlign w:val="center"/>
            <w:hideMark/>
          </w:tcPr>
          <w:p w14:paraId="2793677C"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sidRPr="00F7314C">
              <w:rPr>
                <w:rFonts w:ascii="Arial" w:eastAsia="Times New Roman" w:hAnsi="Arial" w:cs="Arial"/>
                <w:sz w:val="18"/>
                <w:szCs w:val="18"/>
                <w:lang w:val="es-CO" w:eastAsia="es-CO"/>
              </w:rPr>
              <w:t>Directa</w:t>
            </w:r>
          </w:p>
        </w:tc>
      </w:tr>
    </w:tbl>
    <w:p w14:paraId="594569BB" w14:textId="77777777" w:rsidR="0015472D" w:rsidRPr="00F7314C" w:rsidRDefault="0015472D" w:rsidP="0015472D">
      <w:pPr>
        <w:spacing w:after="0" w:line="240" w:lineRule="auto"/>
        <w:ind w:left="568" w:hanging="284"/>
        <w:jc w:val="center"/>
        <w:rPr>
          <w:rFonts w:ascii="Arial" w:hAnsi="Arial" w:cs="Arial"/>
          <w:sz w:val="20"/>
          <w:szCs w:val="20"/>
          <w:lang w:val="es-MX"/>
        </w:rPr>
      </w:pPr>
      <w:r w:rsidRPr="00F7314C">
        <w:rPr>
          <w:rFonts w:ascii="Arial" w:hAnsi="Arial" w:cs="Arial"/>
          <w:sz w:val="20"/>
          <w:szCs w:val="20"/>
          <w:lang w:val="es-MX"/>
        </w:rPr>
        <w:t>Fuente: CRA</w:t>
      </w:r>
    </w:p>
    <w:p w14:paraId="56F60406" w14:textId="77777777" w:rsidR="0015472D" w:rsidRPr="00F7314C" w:rsidRDefault="0015472D" w:rsidP="0015472D">
      <w:pPr>
        <w:spacing w:after="0" w:line="240" w:lineRule="auto"/>
        <w:ind w:left="852" w:hanging="284"/>
        <w:jc w:val="both"/>
        <w:rPr>
          <w:rFonts w:ascii="Arial" w:hAnsi="Arial" w:cs="Arial"/>
          <w:sz w:val="20"/>
          <w:szCs w:val="20"/>
          <w:lang w:val="es-MX"/>
        </w:rPr>
      </w:pPr>
    </w:p>
    <w:p w14:paraId="370532E5" w14:textId="77777777" w:rsidR="0015472D" w:rsidRDefault="0015472D" w:rsidP="0015472D">
      <w:pPr>
        <w:pStyle w:val="Textoindependiente2"/>
        <w:numPr>
          <w:ilvl w:val="0"/>
          <w:numId w:val="31"/>
        </w:numPr>
        <w:spacing w:after="0" w:line="240" w:lineRule="auto"/>
        <w:jc w:val="both"/>
        <w:rPr>
          <w:rFonts w:ascii="Arial" w:hAnsi="Arial" w:cs="Arial"/>
          <w:bCs/>
          <w:iCs/>
          <w:sz w:val="20"/>
        </w:rPr>
      </w:pPr>
      <w:r>
        <w:rPr>
          <w:rFonts w:ascii="Arial" w:hAnsi="Arial" w:cs="Arial"/>
          <w:bCs/>
          <w:iCs/>
          <w:sz w:val="20"/>
        </w:rPr>
        <w:t xml:space="preserve">Para el caso de las variables que hacen parte del modelo de eficiencia comparativa operativo, se tuvo en cuenta el siguiente análisis para cada una de las variables: </w:t>
      </w:r>
    </w:p>
    <w:p w14:paraId="5D7E576D" w14:textId="77777777" w:rsidR="0015472D" w:rsidRPr="00F7314C" w:rsidRDefault="0015472D" w:rsidP="0015472D">
      <w:pPr>
        <w:spacing w:after="0" w:line="240" w:lineRule="auto"/>
        <w:jc w:val="both"/>
        <w:rPr>
          <w:rFonts w:ascii="Arial" w:hAnsi="Arial" w:cs="Arial"/>
          <w:sz w:val="20"/>
          <w:szCs w:val="20"/>
          <w:u w:val="single"/>
        </w:rPr>
      </w:pPr>
    </w:p>
    <w:p w14:paraId="52ECE170" w14:textId="77777777" w:rsidR="0015472D" w:rsidRPr="00F7314C" w:rsidRDefault="0015472D" w:rsidP="0015472D">
      <w:pPr>
        <w:numPr>
          <w:ilvl w:val="0"/>
          <w:numId w:val="30"/>
        </w:numPr>
        <w:spacing w:after="0" w:line="240" w:lineRule="auto"/>
        <w:ind w:left="567"/>
        <w:jc w:val="both"/>
        <w:rPr>
          <w:rFonts w:ascii="Arial" w:hAnsi="Arial" w:cs="Arial"/>
          <w:sz w:val="20"/>
          <w:szCs w:val="20"/>
          <w:u w:val="single"/>
          <w:lang w:val="es-MX"/>
        </w:rPr>
      </w:pPr>
      <w:r w:rsidRPr="00F7314C">
        <w:rPr>
          <w:rFonts w:ascii="Arial" w:hAnsi="Arial" w:cs="Arial"/>
          <w:b/>
          <w:sz w:val="20"/>
          <w:szCs w:val="20"/>
          <w:lang w:val="es-MX"/>
        </w:rPr>
        <w:t>Costos operativos:</w:t>
      </w:r>
      <w:r w:rsidRPr="00F7314C">
        <w:rPr>
          <w:rFonts w:ascii="Arial" w:hAnsi="Arial" w:cs="Arial"/>
          <w:sz w:val="20"/>
          <w:szCs w:val="20"/>
          <w:lang w:val="es-MX"/>
        </w:rPr>
        <w:t xml:space="preserve"> Están asociados a los costos de operación en la prestación de los servicios públicos domiciliarios de acueducto y alcantarillado. Se los define como </w:t>
      </w:r>
      <w:r w:rsidRPr="00F7314C">
        <w:rPr>
          <w:rFonts w:ascii="Arial" w:hAnsi="Arial" w:cs="Arial"/>
          <w:i/>
          <w:sz w:val="20"/>
          <w:szCs w:val="20"/>
          <w:lang w:val="es-MX"/>
        </w:rPr>
        <w:t>insumo controlable</w:t>
      </w:r>
      <w:r w:rsidRPr="00F7314C">
        <w:rPr>
          <w:rFonts w:ascii="Arial" w:hAnsi="Arial" w:cs="Arial"/>
          <w:sz w:val="20"/>
          <w:szCs w:val="20"/>
          <w:lang w:val="es-MX"/>
        </w:rPr>
        <w:t xml:space="preserve"> dado que responden a procesos administrativos de operación y gestión de los prestadores. Esta variable es depurada según los criterios establecidos en el artículo 34</w:t>
      </w:r>
      <w:r w:rsidRPr="00F7314C">
        <w:rPr>
          <w:rStyle w:val="Refdenotaalpie"/>
          <w:rFonts w:ascii="Arial" w:hAnsi="Arial" w:cs="Arial"/>
          <w:sz w:val="20"/>
          <w:szCs w:val="20"/>
          <w:lang w:val="es-CO"/>
        </w:rPr>
        <w:footnoteReference w:id="23"/>
      </w:r>
      <w:r w:rsidRPr="00F7314C">
        <w:rPr>
          <w:rFonts w:ascii="Arial" w:hAnsi="Arial" w:cs="Arial"/>
          <w:sz w:val="20"/>
          <w:szCs w:val="20"/>
          <w:lang w:val="es-MX"/>
        </w:rPr>
        <w:t xml:space="preserve"> de la Resolución CRA 688 de 2014.</w:t>
      </w:r>
    </w:p>
    <w:p w14:paraId="649174A8" w14:textId="77777777" w:rsidR="0015472D" w:rsidRPr="00F7314C" w:rsidRDefault="0015472D" w:rsidP="0015472D">
      <w:pPr>
        <w:spacing w:after="0" w:line="240" w:lineRule="auto"/>
        <w:ind w:left="567"/>
        <w:jc w:val="both"/>
        <w:rPr>
          <w:rFonts w:ascii="Arial" w:hAnsi="Arial" w:cs="Arial"/>
          <w:sz w:val="20"/>
          <w:szCs w:val="20"/>
          <w:u w:val="single"/>
          <w:lang w:val="es-MX"/>
        </w:rPr>
      </w:pPr>
    </w:p>
    <w:p w14:paraId="3B352B3F" w14:textId="77777777" w:rsidR="0015472D" w:rsidRPr="00F7314C" w:rsidRDefault="0015472D" w:rsidP="0015472D">
      <w:pPr>
        <w:spacing w:after="0" w:line="240" w:lineRule="auto"/>
        <w:ind w:left="567"/>
        <w:jc w:val="both"/>
        <w:rPr>
          <w:rFonts w:ascii="Arial" w:hAnsi="Arial" w:cs="Arial"/>
          <w:sz w:val="20"/>
          <w:szCs w:val="20"/>
          <w:u w:val="single"/>
          <w:lang w:val="es-MX"/>
        </w:rPr>
      </w:pPr>
      <w:r w:rsidRPr="00F7314C">
        <w:rPr>
          <w:rFonts w:ascii="Arial" w:hAnsi="Arial" w:cs="Arial"/>
          <w:sz w:val="20"/>
          <w:szCs w:val="20"/>
          <w:lang w:val="es-MX"/>
        </w:rPr>
        <w:t>De igual forma, se debe aclarar que para la estimación de los puntajes DEA, se tuvo en cuenta el valor de la depreciación anual de los activos operativos de propiedad de la persona prestadora más la remuneración de los activos operativos de propiedad de la persona prestadora</w:t>
      </w:r>
      <w:r w:rsidRPr="00F7314C" w:rsidDel="00B97A54">
        <w:rPr>
          <w:rFonts w:ascii="Arial" w:hAnsi="Arial" w:cs="Arial"/>
          <w:sz w:val="20"/>
          <w:szCs w:val="20"/>
          <w:lang w:val="es-MX"/>
        </w:rPr>
        <w:t xml:space="preserve"> </w:t>
      </w:r>
      <w:r w:rsidRPr="00F7314C">
        <w:rPr>
          <w:rFonts w:ascii="Arial" w:hAnsi="Arial" w:cs="Arial"/>
          <w:sz w:val="20"/>
          <w:szCs w:val="20"/>
          <w:lang w:val="es-MX"/>
        </w:rPr>
        <w:t>con el factor de remuneración establecido en la metodología</w:t>
      </w:r>
      <w:r w:rsidRPr="00F7314C">
        <w:rPr>
          <w:rStyle w:val="Refdenotaalpie"/>
          <w:rFonts w:ascii="Arial" w:hAnsi="Arial" w:cs="Arial"/>
          <w:sz w:val="20"/>
          <w:szCs w:val="20"/>
          <w:lang w:val="es-CO"/>
        </w:rPr>
        <w:footnoteReference w:id="24"/>
      </w:r>
      <w:r w:rsidRPr="00F7314C">
        <w:rPr>
          <w:rFonts w:ascii="Arial" w:hAnsi="Arial" w:cs="Arial"/>
          <w:sz w:val="20"/>
          <w:szCs w:val="20"/>
          <w:lang w:val="es-MX"/>
        </w:rPr>
        <w:t xml:space="preserve">. </w:t>
      </w:r>
    </w:p>
    <w:p w14:paraId="01C8DE0B" w14:textId="77777777" w:rsidR="0015472D" w:rsidRPr="00F7314C" w:rsidRDefault="0015472D" w:rsidP="0015472D">
      <w:pPr>
        <w:spacing w:after="0" w:line="240" w:lineRule="auto"/>
        <w:ind w:left="567"/>
        <w:jc w:val="both"/>
        <w:rPr>
          <w:rFonts w:ascii="Arial" w:hAnsi="Arial" w:cs="Arial"/>
          <w:sz w:val="20"/>
          <w:szCs w:val="20"/>
          <w:u w:val="single"/>
          <w:lang w:val="es-MX"/>
        </w:rPr>
      </w:pPr>
    </w:p>
    <w:p w14:paraId="11FAEA6C" w14:textId="61989AB7" w:rsidR="0015472D" w:rsidRPr="00F7314C" w:rsidRDefault="0015472D" w:rsidP="0015472D">
      <w:pPr>
        <w:numPr>
          <w:ilvl w:val="0"/>
          <w:numId w:val="30"/>
        </w:numPr>
        <w:spacing w:after="0" w:line="240" w:lineRule="auto"/>
        <w:ind w:left="567"/>
        <w:jc w:val="both"/>
        <w:rPr>
          <w:rFonts w:ascii="Arial" w:hAnsi="Arial" w:cs="Arial"/>
          <w:b/>
          <w:sz w:val="20"/>
          <w:szCs w:val="20"/>
          <w:u w:val="single"/>
          <w:lang w:val="es-MX"/>
        </w:rPr>
      </w:pPr>
      <w:r w:rsidRPr="00F7314C">
        <w:rPr>
          <w:rFonts w:ascii="Arial" w:hAnsi="Arial" w:cs="Arial"/>
          <w:b/>
          <w:sz w:val="20"/>
          <w:szCs w:val="20"/>
          <w:lang w:val="es-MX"/>
        </w:rPr>
        <w:t>m</w:t>
      </w:r>
      <w:r w:rsidRPr="00F7314C">
        <w:rPr>
          <w:rFonts w:ascii="Arial" w:hAnsi="Arial" w:cs="Arial"/>
          <w:b/>
          <w:sz w:val="20"/>
          <w:szCs w:val="20"/>
          <w:vertAlign w:val="superscript"/>
          <w:lang w:val="es-MX"/>
        </w:rPr>
        <w:t>3</w:t>
      </w:r>
      <w:r w:rsidRPr="00F7314C">
        <w:rPr>
          <w:rFonts w:ascii="Arial" w:hAnsi="Arial" w:cs="Arial"/>
          <w:b/>
          <w:sz w:val="20"/>
          <w:szCs w:val="20"/>
          <w:lang w:val="es-MX"/>
        </w:rPr>
        <w:t xml:space="preserve"> facturados - m</w:t>
      </w:r>
      <w:r w:rsidRPr="00F7314C">
        <w:rPr>
          <w:rFonts w:ascii="Arial" w:hAnsi="Arial" w:cs="Arial"/>
          <w:b/>
          <w:sz w:val="20"/>
          <w:szCs w:val="20"/>
          <w:vertAlign w:val="superscript"/>
          <w:lang w:val="es-MX"/>
        </w:rPr>
        <w:t>3</w:t>
      </w:r>
      <w:r w:rsidRPr="00F7314C">
        <w:rPr>
          <w:rFonts w:ascii="Arial" w:hAnsi="Arial" w:cs="Arial"/>
          <w:b/>
          <w:sz w:val="20"/>
          <w:szCs w:val="20"/>
          <w:lang w:val="es-MX"/>
        </w:rPr>
        <w:t xml:space="preserve"> vertidos: </w:t>
      </w:r>
      <w:r w:rsidRPr="00F7314C">
        <w:rPr>
          <w:rFonts w:ascii="Arial" w:hAnsi="Arial" w:cs="Arial"/>
          <w:sz w:val="20"/>
          <w:szCs w:val="20"/>
          <w:lang w:val="es-MX"/>
        </w:rPr>
        <w:t>Corresponden a los metros cúbicos (m</w:t>
      </w:r>
      <w:r w:rsidRPr="00916F3F">
        <w:rPr>
          <w:rFonts w:ascii="Arial" w:hAnsi="Arial" w:cs="Arial"/>
          <w:sz w:val="20"/>
          <w:szCs w:val="20"/>
          <w:vertAlign w:val="superscript"/>
          <w:lang w:val="es-MX"/>
        </w:rPr>
        <w:t>3</w:t>
      </w:r>
      <w:r w:rsidRPr="00F7314C">
        <w:rPr>
          <w:rFonts w:ascii="Arial" w:hAnsi="Arial" w:cs="Arial"/>
          <w:sz w:val="20"/>
          <w:szCs w:val="20"/>
          <w:lang w:val="es-MX"/>
        </w:rPr>
        <w:t>) facturados y vertidos por la persona prestadora. Tienen relación directa con la variable insumo, dado que a mayor m</w:t>
      </w:r>
      <w:r w:rsidRPr="00F7314C">
        <w:rPr>
          <w:rFonts w:ascii="Arial" w:hAnsi="Arial" w:cs="Arial"/>
          <w:sz w:val="20"/>
          <w:szCs w:val="20"/>
          <w:vertAlign w:val="superscript"/>
          <w:lang w:val="es-MX"/>
        </w:rPr>
        <w:t>3</w:t>
      </w:r>
      <w:r w:rsidRPr="00F7314C">
        <w:rPr>
          <w:rFonts w:ascii="Arial" w:hAnsi="Arial" w:cs="Arial"/>
          <w:sz w:val="20"/>
          <w:szCs w:val="20"/>
          <w:lang w:val="es-MX"/>
        </w:rPr>
        <w:t xml:space="preserve">, facturados o vertidos, se generan mayores costos operativos totales. </w:t>
      </w:r>
    </w:p>
    <w:p w14:paraId="61FFDAF8" w14:textId="77777777" w:rsidR="0015472D" w:rsidRPr="00F7314C" w:rsidRDefault="0015472D" w:rsidP="0015472D">
      <w:pPr>
        <w:spacing w:after="0" w:line="240" w:lineRule="auto"/>
        <w:ind w:left="567" w:hanging="284"/>
        <w:jc w:val="both"/>
        <w:rPr>
          <w:rFonts w:ascii="Arial" w:hAnsi="Arial" w:cs="Arial"/>
          <w:sz w:val="20"/>
          <w:szCs w:val="20"/>
          <w:u w:val="single"/>
          <w:lang w:val="es-MX"/>
        </w:rPr>
      </w:pPr>
    </w:p>
    <w:p w14:paraId="2F80539B" w14:textId="77777777" w:rsidR="0015472D" w:rsidRPr="00F7314C" w:rsidRDefault="0015472D" w:rsidP="0015472D">
      <w:pPr>
        <w:numPr>
          <w:ilvl w:val="0"/>
          <w:numId w:val="30"/>
        </w:numPr>
        <w:spacing w:after="0" w:line="240" w:lineRule="auto"/>
        <w:ind w:left="567" w:hanging="141"/>
        <w:jc w:val="both"/>
        <w:rPr>
          <w:rFonts w:ascii="Arial" w:hAnsi="Arial" w:cs="Arial"/>
          <w:sz w:val="20"/>
          <w:szCs w:val="20"/>
          <w:u w:val="single"/>
          <w:lang w:val="es-MX"/>
        </w:rPr>
      </w:pPr>
      <w:r w:rsidRPr="00F7314C">
        <w:rPr>
          <w:rFonts w:ascii="Arial" w:eastAsia="Times New Roman" w:hAnsi="Arial" w:cs="Arial"/>
          <w:b/>
          <w:bCs/>
          <w:sz w:val="20"/>
          <w:szCs w:val="20"/>
          <w:lang w:val="es-CO" w:eastAsia="es-CO"/>
        </w:rPr>
        <w:t xml:space="preserve">Tamaño de Redes de Acueducto y Alcantarillado: </w:t>
      </w:r>
      <w:r w:rsidRPr="00F7314C">
        <w:rPr>
          <w:rFonts w:ascii="Arial" w:eastAsia="Times New Roman" w:hAnsi="Arial" w:cs="Arial"/>
          <w:bCs/>
          <w:sz w:val="20"/>
          <w:szCs w:val="20"/>
          <w:lang w:val="es-CO" w:eastAsia="es-CO"/>
        </w:rPr>
        <w:t xml:space="preserve">Hace referencia a la longitud y el diámetro de red total empleada en la prestación de los servicios públicos domiciliarios de acueducto y alcantarillado. La relación de esta variable con los costos totales es directa, ya que mayor tamaño de la infraestructura de red se generan mayores costos asociados a la operación y mantenimiento de la misma.  </w:t>
      </w:r>
    </w:p>
    <w:p w14:paraId="69143048" w14:textId="77777777" w:rsidR="0015472D" w:rsidRPr="00F7314C" w:rsidRDefault="0015472D" w:rsidP="0015472D">
      <w:pPr>
        <w:pStyle w:val="Prrafodelista"/>
        <w:spacing w:after="0" w:line="240" w:lineRule="auto"/>
        <w:ind w:left="567"/>
        <w:rPr>
          <w:rFonts w:ascii="Arial" w:hAnsi="Arial" w:cs="Arial"/>
          <w:sz w:val="20"/>
          <w:szCs w:val="20"/>
          <w:u w:val="single"/>
          <w:lang w:val="es-MX"/>
        </w:rPr>
      </w:pPr>
    </w:p>
    <w:p w14:paraId="468D253B" w14:textId="21D1D429" w:rsidR="0015472D" w:rsidRPr="00F7314C" w:rsidRDefault="0015472D" w:rsidP="0015472D">
      <w:pPr>
        <w:numPr>
          <w:ilvl w:val="0"/>
          <w:numId w:val="30"/>
        </w:numPr>
        <w:spacing w:after="0" w:line="240" w:lineRule="auto"/>
        <w:ind w:left="567"/>
        <w:jc w:val="both"/>
        <w:rPr>
          <w:rFonts w:ascii="Arial" w:hAnsi="Arial" w:cs="Arial"/>
          <w:sz w:val="20"/>
          <w:szCs w:val="20"/>
          <w:lang w:val="es-MX"/>
        </w:rPr>
      </w:pPr>
      <w:r w:rsidRPr="00F7314C">
        <w:rPr>
          <w:rFonts w:ascii="Arial" w:hAnsi="Arial" w:cs="Arial"/>
          <w:b/>
          <w:sz w:val="20"/>
          <w:szCs w:val="20"/>
          <w:lang w:val="es-MX"/>
        </w:rPr>
        <w:t xml:space="preserve">Calidad del agua cruda: </w:t>
      </w:r>
      <w:r w:rsidRPr="00F7314C">
        <w:rPr>
          <w:rFonts w:ascii="Arial" w:hAnsi="Arial" w:cs="Arial"/>
          <w:sz w:val="20"/>
          <w:szCs w:val="20"/>
          <w:lang w:val="es-MX"/>
        </w:rPr>
        <w:t>Esta variable ingresa al modelo con una relación directa</w:t>
      </w:r>
      <w:r w:rsidRPr="00F7314C">
        <w:rPr>
          <w:rFonts w:ascii="Arial" w:hAnsi="Arial" w:cs="Arial"/>
          <w:b/>
          <w:sz w:val="20"/>
          <w:szCs w:val="20"/>
          <w:lang w:val="es-MX"/>
        </w:rPr>
        <w:t xml:space="preserve">, </w:t>
      </w:r>
      <w:r w:rsidRPr="00F7314C">
        <w:rPr>
          <w:rFonts w:ascii="Arial" w:hAnsi="Arial" w:cs="Arial"/>
          <w:sz w:val="20"/>
          <w:szCs w:val="20"/>
          <w:lang w:val="es-MX"/>
        </w:rPr>
        <w:t>dado que los costos operativos comparables que se relacionan con el proceso de potabilización se asocian a costos como personal, laboratorios, frecuencia de pruebas, etc., que no necesariamente varían por la calidad del agua. La relación inversa con los costos está más relacionada con los costos operativos particulares de tratamiento que incluyen insumos químicos y energía.</w:t>
      </w:r>
    </w:p>
    <w:p w14:paraId="2FDA1191" w14:textId="77777777" w:rsidR="0015472D" w:rsidRPr="00F7314C" w:rsidRDefault="0015472D" w:rsidP="0015472D">
      <w:pPr>
        <w:spacing w:after="0" w:line="240" w:lineRule="auto"/>
        <w:ind w:left="567"/>
        <w:jc w:val="both"/>
        <w:rPr>
          <w:rFonts w:ascii="Arial" w:hAnsi="Arial" w:cs="Arial"/>
          <w:sz w:val="20"/>
          <w:szCs w:val="20"/>
          <w:lang w:val="es-MX"/>
        </w:rPr>
      </w:pPr>
      <w:r w:rsidRPr="00F7314C">
        <w:rPr>
          <w:rFonts w:ascii="Arial" w:hAnsi="Arial" w:cs="Arial"/>
          <w:sz w:val="20"/>
          <w:szCs w:val="20"/>
          <w:lang w:val="es-MX"/>
        </w:rPr>
        <w:t xml:space="preserve"> </w:t>
      </w:r>
    </w:p>
    <w:p w14:paraId="5BE0A5F1" w14:textId="77777777" w:rsidR="0015472D" w:rsidRPr="00F7314C" w:rsidRDefault="0015472D" w:rsidP="0015472D">
      <w:pPr>
        <w:spacing w:after="0" w:line="240" w:lineRule="auto"/>
        <w:jc w:val="both"/>
        <w:rPr>
          <w:rFonts w:ascii="Arial" w:hAnsi="Arial" w:cs="Arial"/>
          <w:sz w:val="20"/>
          <w:szCs w:val="20"/>
          <w:lang w:val="es-MX"/>
        </w:rPr>
      </w:pPr>
      <w:r w:rsidRPr="00F7314C">
        <w:rPr>
          <w:rFonts w:ascii="Arial" w:hAnsi="Arial" w:cs="Arial"/>
          <w:sz w:val="20"/>
          <w:szCs w:val="20"/>
          <w:lang w:val="es-MX"/>
        </w:rPr>
        <w:t xml:space="preserve">Las variables que entran al modelo como productos recogen información de cantidad de “producción de volumen de agua potable facturados” y de los vertimientos al sistema de alcantarillado, así como de la “calidad” del </w:t>
      </w:r>
      <w:r w:rsidRPr="00F7314C">
        <w:rPr>
          <w:rFonts w:ascii="Arial" w:hAnsi="Arial" w:cs="Arial"/>
          <w:sz w:val="20"/>
          <w:szCs w:val="20"/>
          <w:lang w:val="es-MX"/>
        </w:rPr>
        <w:lastRenderedPageBreak/>
        <w:t>producto agua cruda. La combinación de estas variables permite examinar las características de una persona prestadora con respecto a las otras.</w:t>
      </w:r>
    </w:p>
    <w:p w14:paraId="544AE637" w14:textId="175F2A27" w:rsidR="0015472D" w:rsidRDefault="0015472D" w:rsidP="0015472D">
      <w:pPr>
        <w:spacing w:after="0" w:line="240" w:lineRule="auto"/>
        <w:ind w:left="852" w:hanging="284"/>
        <w:jc w:val="both"/>
        <w:rPr>
          <w:rFonts w:ascii="Arial" w:hAnsi="Arial" w:cs="Arial"/>
          <w:sz w:val="20"/>
          <w:szCs w:val="20"/>
          <w:lang w:val="es-MX"/>
        </w:rPr>
      </w:pPr>
    </w:p>
    <w:p w14:paraId="38E0D357" w14:textId="77777777" w:rsidR="00872B66" w:rsidRPr="00F7314C" w:rsidRDefault="00872B66" w:rsidP="0015472D">
      <w:pPr>
        <w:spacing w:after="0" w:line="240" w:lineRule="auto"/>
        <w:ind w:left="852" w:hanging="284"/>
        <w:jc w:val="both"/>
        <w:rPr>
          <w:rFonts w:ascii="Arial" w:hAnsi="Arial" w:cs="Arial"/>
          <w:sz w:val="20"/>
          <w:szCs w:val="20"/>
          <w:lang w:val="es-MX"/>
        </w:rPr>
      </w:pPr>
    </w:p>
    <w:p w14:paraId="586EB9C0" w14:textId="2D2ED033" w:rsidR="0015472D" w:rsidRPr="00F7314C" w:rsidRDefault="0015472D" w:rsidP="0015472D">
      <w:pPr>
        <w:pStyle w:val="Epgrafe1"/>
        <w:spacing w:after="0" w:line="240" w:lineRule="auto"/>
        <w:jc w:val="center"/>
        <w:rPr>
          <w:rFonts w:ascii="Arial" w:hAnsi="Arial" w:cs="Arial"/>
          <w:lang w:val="es-MX"/>
        </w:rPr>
      </w:pPr>
      <w:bookmarkStart w:id="25" w:name="_Toc492664386"/>
      <w:bookmarkStart w:id="26" w:name="_Toc506988570"/>
      <w:r w:rsidRPr="00F7314C">
        <w:rPr>
          <w:rFonts w:ascii="Arial" w:hAnsi="Arial" w:cs="Arial"/>
        </w:rPr>
        <w:t xml:space="preserve">Tabla </w:t>
      </w:r>
      <w:r w:rsidRPr="00F7314C">
        <w:rPr>
          <w:rFonts w:ascii="Arial" w:hAnsi="Arial" w:cs="Arial"/>
          <w:b w:val="0"/>
          <w:bCs w:val="0"/>
        </w:rPr>
        <w:fldChar w:fldCharType="begin"/>
      </w:r>
      <w:r w:rsidRPr="00F7314C">
        <w:rPr>
          <w:rFonts w:ascii="Arial" w:hAnsi="Arial" w:cs="Arial"/>
        </w:rPr>
        <w:instrText xml:space="preserve"> SEQ Tabla \* ARABIC </w:instrText>
      </w:r>
      <w:r w:rsidRPr="00F7314C">
        <w:rPr>
          <w:rFonts w:ascii="Arial" w:hAnsi="Arial" w:cs="Arial"/>
          <w:b w:val="0"/>
          <w:bCs w:val="0"/>
        </w:rPr>
        <w:fldChar w:fldCharType="separate"/>
      </w:r>
      <w:r w:rsidR="004C0CEB">
        <w:rPr>
          <w:rFonts w:ascii="Arial" w:hAnsi="Arial" w:cs="Arial"/>
          <w:noProof/>
        </w:rPr>
        <w:t>7</w:t>
      </w:r>
      <w:r w:rsidRPr="00F7314C">
        <w:rPr>
          <w:rFonts w:ascii="Arial" w:hAnsi="Arial" w:cs="Arial"/>
          <w:b w:val="0"/>
          <w:bCs w:val="0"/>
        </w:rPr>
        <w:fldChar w:fldCharType="end"/>
      </w:r>
      <w:r w:rsidRPr="00F7314C">
        <w:rPr>
          <w:rFonts w:ascii="Arial" w:hAnsi="Arial" w:cs="Arial"/>
        </w:rPr>
        <w:t xml:space="preserve">. </w:t>
      </w:r>
      <w:r w:rsidRPr="00F7314C">
        <w:rPr>
          <w:rFonts w:ascii="Arial" w:hAnsi="Arial" w:cs="Arial"/>
          <w:lang w:val="es-MX"/>
        </w:rPr>
        <w:t>Relación de las variables respecto del insumo</w:t>
      </w:r>
      <w:bookmarkEnd w:id="25"/>
      <w:bookmarkEnd w:id="26"/>
      <w:r w:rsidRPr="00F7314C">
        <w:rPr>
          <w:rFonts w:ascii="Arial" w:hAnsi="Arial" w:cs="Arial"/>
          <w:lang w:val="es-MX"/>
        </w:rPr>
        <w:t xml:space="preserve"> </w:t>
      </w:r>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388"/>
        <w:gridCol w:w="1247"/>
        <w:gridCol w:w="1367"/>
      </w:tblGrid>
      <w:tr w:rsidR="0015472D" w:rsidRPr="00F7314C" w14:paraId="0DC0F54D" w14:textId="77777777" w:rsidTr="0015472D">
        <w:trPr>
          <w:trHeight w:val="300"/>
          <w:jc w:val="center"/>
        </w:trPr>
        <w:tc>
          <w:tcPr>
            <w:tcW w:w="0" w:type="auto"/>
            <w:tcBorders>
              <w:bottom w:val="single" w:sz="12" w:space="0" w:color="9CC2E5"/>
            </w:tcBorders>
            <w:shd w:val="clear" w:color="auto" w:fill="auto"/>
            <w:noWrap/>
            <w:hideMark/>
          </w:tcPr>
          <w:p w14:paraId="2AD8D890" w14:textId="77777777" w:rsidR="0015472D" w:rsidRPr="00F7314C" w:rsidRDefault="0015472D" w:rsidP="0015472D">
            <w:pPr>
              <w:suppressAutoHyphens w:val="0"/>
              <w:spacing w:after="0" w:line="240" w:lineRule="auto"/>
              <w:jc w:val="center"/>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Variable</w:t>
            </w:r>
          </w:p>
        </w:tc>
        <w:tc>
          <w:tcPr>
            <w:tcW w:w="0" w:type="auto"/>
            <w:tcBorders>
              <w:bottom w:val="single" w:sz="12" w:space="0" w:color="9CC2E5"/>
            </w:tcBorders>
            <w:shd w:val="clear" w:color="auto" w:fill="auto"/>
            <w:noWrap/>
            <w:hideMark/>
          </w:tcPr>
          <w:p w14:paraId="5BF8CFAC" w14:textId="77777777" w:rsidR="0015472D" w:rsidRPr="00F7314C" w:rsidRDefault="0015472D" w:rsidP="0015472D">
            <w:pPr>
              <w:suppressAutoHyphens w:val="0"/>
              <w:spacing w:after="0" w:line="240" w:lineRule="auto"/>
              <w:jc w:val="center"/>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Descripción</w:t>
            </w:r>
          </w:p>
        </w:tc>
        <w:tc>
          <w:tcPr>
            <w:tcW w:w="1367" w:type="dxa"/>
            <w:tcBorders>
              <w:bottom w:val="single" w:sz="12" w:space="0" w:color="9CC2E5"/>
            </w:tcBorders>
            <w:shd w:val="clear" w:color="auto" w:fill="auto"/>
            <w:noWrap/>
            <w:hideMark/>
          </w:tcPr>
          <w:p w14:paraId="7343DEA2" w14:textId="77777777" w:rsidR="0015472D" w:rsidRPr="00F7314C" w:rsidRDefault="0015472D" w:rsidP="0015472D">
            <w:pPr>
              <w:suppressAutoHyphens w:val="0"/>
              <w:spacing w:after="0" w:line="240" w:lineRule="auto"/>
              <w:jc w:val="center"/>
              <w:rPr>
                <w:rFonts w:ascii="Arial" w:eastAsia="Times New Roman" w:hAnsi="Arial" w:cs="Arial"/>
                <w:b/>
                <w:bCs/>
                <w:sz w:val="18"/>
                <w:szCs w:val="18"/>
                <w:lang w:val="es-CO" w:eastAsia="es-CO"/>
              </w:rPr>
            </w:pPr>
            <w:r>
              <w:rPr>
                <w:rFonts w:ascii="Arial" w:eastAsia="Times New Roman" w:hAnsi="Arial" w:cs="Arial"/>
                <w:b/>
                <w:bCs/>
                <w:sz w:val="18"/>
                <w:szCs w:val="18"/>
                <w:lang w:val="es-CO" w:eastAsia="es-CO"/>
              </w:rPr>
              <w:t>Relación</w:t>
            </w:r>
          </w:p>
        </w:tc>
      </w:tr>
      <w:tr w:rsidR="0015472D" w:rsidRPr="00F7314C" w14:paraId="4F5F53EB" w14:textId="77777777" w:rsidTr="0015472D">
        <w:trPr>
          <w:trHeight w:val="300"/>
          <w:jc w:val="center"/>
        </w:trPr>
        <w:tc>
          <w:tcPr>
            <w:tcW w:w="0" w:type="auto"/>
            <w:shd w:val="clear" w:color="auto" w:fill="DEEAF6"/>
            <w:noWrap/>
            <w:hideMark/>
          </w:tcPr>
          <w:p w14:paraId="3E8F359B"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Costos Operativos</w:t>
            </w:r>
          </w:p>
        </w:tc>
        <w:tc>
          <w:tcPr>
            <w:tcW w:w="0" w:type="auto"/>
            <w:shd w:val="clear" w:color="auto" w:fill="DEEAF6"/>
            <w:noWrap/>
            <w:hideMark/>
          </w:tcPr>
          <w:p w14:paraId="170862B6"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Insumo</w:t>
            </w:r>
          </w:p>
        </w:tc>
        <w:tc>
          <w:tcPr>
            <w:tcW w:w="1367" w:type="dxa"/>
            <w:shd w:val="clear" w:color="auto" w:fill="DEEAF6"/>
            <w:noWrap/>
            <w:hideMark/>
          </w:tcPr>
          <w:p w14:paraId="37BFAD12" w14:textId="4C7A0DA4" w:rsidR="0015472D" w:rsidRPr="00F7314C" w:rsidRDefault="0015472D" w:rsidP="0015472D">
            <w:pPr>
              <w:suppressAutoHyphens w:val="0"/>
              <w:spacing w:after="0" w:line="240" w:lineRule="auto"/>
              <w:jc w:val="center"/>
              <w:rPr>
                <w:rFonts w:ascii="Arial" w:eastAsia="Times New Roman" w:hAnsi="Arial" w:cs="Arial"/>
                <w:bCs/>
                <w:sz w:val="18"/>
                <w:szCs w:val="18"/>
                <w:lang w:val="es-CO" w:eastAsia="es-CO"/>
              </w:rPr>
            </w:pPr>
            <w:r w:rsidRPr="00F7314C">
              <w:rPr>
                <w:rFonts w:ascii="Arial" w:eastAsia="Times New Roman" w:hAnsi="Arial" w:cs="Arial"/>
                <w:bCs/>
                <w:sz w:val="18"/>
                <w:szCs w:val="18"/>
                <w:lang w:val="es-CO" w:eastAsia="es-CO"/>
              </w:rPr>
              <w:t>N</w:t>
            </w:r>
            <w:r>
              <w:rPr>
                <w:rFonts w:ascii="Arial" w:eastAsia="Times New Roman" w:hAnsi="Arial" w:cs="Arial"/>
                <w:bCs/>
                <w:sz w:val="18"/>
                <w:szCs w:val="18"/>
                <w:lang w:val="es-CO" w:eastAsia="es-CO"/>
              </w:rPr>
              <w:t>o aplica</w:t>
            </w:r>
          </w:p>
        </w:tc>
      </w:tr>
      <w:tr w:rsidR="0015472D" w:rsidRPr="00F7314C" w14:paraId="3B3C14EA" w14:textId="77777777" w:rsidTr="0015472D">
        <w:trPr>
          <w:trHeight w:val="300"/>
          <w:jc w:val="center"/>
        </w:trPr>
        <w:tc>
          <w:tcPr>
            <w:tcW w:w="0" w:type="auto"/>
            <w:shd w:val="clear" w:color="auto" w:fill="auto"/>
            <w:noWrap/>
            <w:hideMark/>
          </w:tcPr>
          <w:p w14:paraId="17234A0C"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m3 facturados</w:t>
            </w:r>
          </w:p>
        </w:tc>
        <w:tc>
          <w:tcPr>
            <w:tcW w:w="0" w:type="auto"/>
            <w:shd w:val="clear" w:color="auto" w:fill="auto"/>
            <w:noWrap/>
            <w:hideMark/>
          </w:tcPr>
          <w:p w14:paraId="3FDC6283"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Producto</w:t>
            </w:r>
          </w:p>
        </w:tc>
        <w:tc>
          <w:tcPr>
            <w:tcW w:w="1367" w:type="dxa"/>
            <w:shd w:val="clear" w:color="auto" w:fill="auto"/>
            <w:noWrap/>
            <w:hideMark/>
          </w:tcPr>
          <w:p w14:paraId="04BBFF41"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sidRPr="00F7314C">
              <w:rPr>
                <w:rFonts w:ascii="Arial" w:eastAsia="Times New Roman" w:hAnsi="Arial" w:cs="Arial"/>
                <w:sz w:val="18"/>
                <w:szCs w:val="18"/>
                <w:lang w:val="es-CO" w:eastAsia="es-CO"/>
              </w:rPr>
              <w:t>Directa</w:t>
            </w:r>
          </w:p>
        </w:tc>
      </w:tr>
      <w:tr w:rsidR="0015472D" w:rsidRPr="00F7314C" w14:paraId="27BF3789" w14:textId="77777777" w:rsidTr="0015472D">
        <w:trPr>
          <w:trHeight w:val="300"/>
          <w:jc w:val="center"/>
        </w:trPr>
        <w:tc>
          <w:tcPr>
            <w:tcW w:w="0" w:type="auto"/>
            <w:shd w:val="clear" w:color="auto" w:fill="DEEAF6"/>
            <w:noWrap/>
            <w:hideMark/>
          </w:tcPr>
          <w:p w14:paraId="0AFB269C"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m3 vertidos</w:t>
            </w:r>
          </w:p>
        </w:tc>
        <w:tc>
          <w:tcPr>
            <w:tcW w:w="0" w:type="auto"/>
            <w:shd w:val="clear" w:color="auto" w:fill="DEEAF6"/>
            <w:noWrap/>
            <w:hideMark/>
          </w:tcPr>
          <w:p w14:paraId="6004DABA"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 xml:space="preserve">Producto </w:t>
            </w:r>
          </w:p>
        </w:tc>
        <w:tc>
          <w:tcPr>
            <w:tcW w:w="1367" w:type="dxa"/>
            <w:shd w:val="clear" w:color="auto" w:fill="DEEAF6"/>
            <w:noWrap/>
            <w:hideMark/>
          </w:tcPr>
          <w:p w14:paraId="35480A48"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sidRPr="00F7314C">
              <w:rPr>
                <w:rFonts w:ascii="Arial" w:eastAsia="Times New Roman" w:hAnsi="Arial" w:cs="Arial"/>
                <w:sz w:val="18"/>
                <w:szCs w:val="18"/>
                <w:lang w:val="es-CO" w:eastAsia="es-CO"/>
              </w:rPr>
              <w:t>Directa</w:t>
            </w:r>
          </w:p>
        </w:tc>
      </w:tr>
      <w:tr w:rsidR="0015472D" w:rsidRPr="00F7314C" w14:paraId="30C3AEAB" w14:textId="77777777" w:rsidTr="0015472D">
        <w:trPr>
          <w:trHeight w:val="300"/>
          <w:jc w:val="center"/>
        </w:trPr>
        <w:tc>
          <w:tcPr>
            <w:tcW w:w="0" w:type="auto"/>
            <w:shd w:val="clear" w:color="auto" w:fill="auto"/>
            <w:noWrap/>
            <w:hideMark/>
          </w:tcPr>
          <w:p w14:paraId="6DC25244"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 xml:space="preserve">Tamaño de Redes de Acueducto y Alcantarillado </w:t>
            </w:r>
          </w:p>
        </w:tc>
        <w:tc>
          <w:tcPr>
            <w:tcW w:w="0" w:type="auto"/>
            <w:shd w:val="clear" w:color="auto" w:fill="auto"/>
            <w:noWrap/>
            <w:hideMark/>
          </w:tcPr>
          <w:p w14:paraId="52DAF031"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Producto</w:t>
            </w:r>
          </w:p>
        </w:tc>
        <w:tc>
          <w:tcPr>
            <w:tcW w:w="1367" w:type="dxa"/>
            <w:shd w:val="clear" w:color="auto" w:fill="auto"/>
            <w:noWrap/>
            <w:hideMark/>
          </w:tcPr>
          <w:p w14:paraId="343D5A73"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sidRPr="00F7314C">
              <w:rPr>
                <w:rFonts w:ascii="Arial" w:eastAsia="Times New Roman" w:hAnsi="Arial" w:cs="Arial"/>
                <w:sz w:val="18"/>
                <w:szCs w:val="18"/>
                <w:lang w:val="es-CO" w:eastAsia="es-CO"/>
              </w:rPr>
              <w:t>Directa</w:t>
            </w:r>
          </w:p>
        </w:tc>
      </w:tr>
      <w:tr w:rsidR="0015472D" w:rsidRPr="00F7314C" w14:paraId="2902B2D1" w14:textId="77777777" w:rsidTr="0015472D">
        <w:trPr>
          <w:trHeight w:val="300"/>
          <w:jc w:val="center"/>
        </w:trPr>
        <w:tc>
          <w:tcPr>
            <w:tcW w:w="0" w:type="auto"/>
            <w:shd w:val="clear" w:color="auto" w:fill="DEEAF6"/>
            <w:noWrap/>
            <w:hideMark/>
          </w:tcPr>
          <w:p w14:paraId="5E109522" w14:textId="77777777" w:rsidR="0015472D" w:rsidRPr="00F7314C" w:rsidRDefault="0015472D" w:rsidP="0015472D">
            <w:pPr>
              <w:suppressAutoHyphens w:val="0"/>
              <w:spacing w:after="0" w:line="240" w:lineRule="auto"/>
              <w:rPr>
                <w:rFonts w:ascii="Arial" w:eastAsia="Times New Roman" w:hAnsi="Arial" w:cs="Arial"/>
                <w:b/>
                <w:bCs/>
                <w:sz w:val="18"/>
                <w:szCs w:val="18"/>
                <w:lang w:val="es-CO" w:eastAsia="es-CO"/>
              </w:rPr>
            </w:pPr>
            <w:r w:rsidRPr="00F7314C">
              <w:rPr>
                <w:rFonts w:ascii="Arial" w:eastAsia="Times New Roman" w:hAnsi="Arial" w:cs="Arial"/>
                <w:b/>
                <w:bCs/>
                <w:sz w:val="18"/>
                <w:szCs w:val="18"/>
                <w:lang w:val="es-CO" w:eastAsia="es-CO"/>
              </w:rPr>
              <w:t>Calidad del Agua Cruda</w:t>
            </w:r>
          </w:p>
        </w:tc>
        <w:tc>
          <w:tcPr>
            <w:tcW w:w="0" w:type="auto"/>
            <w:shd w:val="clear" w:color="auto" w:fill="DEEAF6"/>
            <w:noWrap/>
            <w:hideMark/>
          </w:tcPr>
          <w:p w14:paraId="3D363057"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 xml:space="preserve">Producto </w:t>
            </w:r>
          </w:p>
        </w:tc>
        <w:tc>
          <w:tcPr>
            <w:tcW w:w="1367" w:type="dxa"/>
            <w:shd w:val="clear" w:color="auto" w:fill="DEEAF6"/>
            <w:noWrap/>
            <w:hideMark/>
          </w:tcPr>
          <w:p w14:paraId="62E93E2A" w14:textId="77777777" w:rsidR="0015472D" w:rsidRPr="00F7314C" w:rsidRDefault="0015472D" w:rsidP="0015472D">
            <w:pPr>
              <w:suppressAutoHyphens w:val="0"/>
              <w:spacing w:after="0" w:line="240" w:lineRule="auto"/>
              <w:jc w:val="center"/>
              <w:rPr>
                <w:rFonts w:ascii="Arial" w:eastAsia="Times New Roman" w:hAnsi="Arial" w:cs="Arial"/>
                <w:sz w:val="18"/>
                <w:szCs w:val="18"/>
                <w:lang w:val="es-CO" w:eastAsia="es-CO"/>
              </w:rPr>
            </w:pPr>
            <w:r w:rsidRPr="00F7314C">
              <w:rPr>
                <w:rFonts w:ascii="Arial" w:eastAsia="Times New Roman" w:hAnsi="Arial" w:cs="Arial"/>
                <w:sz w:val="18"/>
                <w:szCs w:val="18"/>
                <w:lang w:val="es-CO" w:eastAsia="es-CO"/>
              </w:rPr>
              <w:t>Directa</w:t>
            </w:r>
          </w:p>
        </w:tc>
      </w:tr>
    </w:tbl>
    <w:p w14:paraId="6792C26E" w14:textId="77777777" w:rsidR="0015472D" w:rsidRPr="00F7314C" w:rsidRDefault="0015472D" w:rsidP="0015472D">
      <w:pPr>
        <w:spacing w:after="0" w:line="240" w:lineRule="auto"/>
        <w:ind w:left="568" w:hanging="284"/>
        <w:jc w:val="center"/>
        <w:rPr>
          <w:rFonts w:ascii="Arial" w:hAnsi="Arial" w:cs="Arial"/>
          <w:sz w:val="20"/>
          <w:szCs w:val="20"/>
          <w:lang w:val="es-MX"/>
        </w:rPr>
      </w:pPr>
      <w:r w:rsidRPr="00F7314C">
        <w:rPr>
          <w:rFonts w:ascii="Arial" w:hAnsi="Arial" w:cs="Arial"/>
          <w:sz w:val="20"/>
          <w:szCs w:val="20"/>
          <w:lang w:val="es-MX"/>
        </w:rPr>
        <w:t>Fuente: CRA</w:t>
      </w:r>
    </w:p>
    <w:p w14:paraId="0439F33F" w14:textId="77777777" w:rsidR="00B37730" w:rsidRDefault="00B37730" w:rsidP="00B37730">
      <w:pPr>
        <w:rPr>
          <w:lang w:val="es-CO" w:eastAsia="es-CO"/>
        </w:rPr>
      </w:pPr>
    </w:p>
    <w:p w14:paraId="3E355FF9" w14:textId="77777777" w:rsidR="00B37730" w:rsidRPr="00FE7CD7" w:rsidRDefault="00B37730" w:rsidP="00AC75FB">
      <w:pPr>
        <w:pStyle w:val="Ttulo2"/>
        <w:jc w:val="both"/>
        <w:rPr>
          <w:rFonts w:cs="Arial"/>
          <w:szCs w:val="20"/>
          <w:lang w:val="es-CO" w:eastAsia="es-CO"/>
        </w:rPr>
      </w:pPr>
      <w:bookmarkStart w:id="27" w:name="_Toc506988585"/>
      <w:r w:rsidRPr="00FE7CD7">
        <w:rPr>
          <w:rFonts w:cs="Arial"/>
          <w:szCs w:val="20"/>
        </w:rPr>
        <w:t>RESPUESTA NO.</w:t>
      </w:r>
      <w:r w:rsidRPr="00FE7CD7">
        <w:rPr>
          <w:rFonts w:cs="Arial"/>
          <w:szCs w:val="20"/>
        </w:rPr>
        <w:fldChar w:fldCharType="begin"/>
      </w:r>
      <w:r w:rsidRPr="00FE7CD7">
        <w:rPr>
          <w:rFonts w:cs="Arial"/>
          <w:szCs w:val="20"/>
        </w:rPr>
        <w:instrText xml:space="preserve"> SEQ RESPUESTA_N. \* ARABIC </w:instrText>
      </w:r>
      <w:r w:rsidRPr="00FE7CD7">
        <w:rPr>
          <w:rFonts w:cs="Arial"/>
          <w:szCs w:val="20"/>
        </w:rPr>
        <w:fldChar w:fldCharType="separate"/>
      </w:r>
      <w:r w:rsidRPr="00FE7CD7">
        <w:rPr>
          <w:rFonts w:cs="Arial"/>
          <w:noProof/>
          <w:szCs w:val="20"/>
        </w:rPr>
        <w:t>7</w:t>
      </w:r>
      <w:r w:rsidRPr="00FE7CD7">
        <w:rPr>
          <w:rFonts w:cs="Arial"/>
          <w:szCs w:val="20"/>
        </w:rPr>
        <w:fldChar w:fldCharType="end"/>
      </w:r>
      <w:r w:rsidRPr="00FE7CD7">
        <w:rPr>
          <w:rFonts w:cs="Arial"/>
          <w:szCs w:val="20"/>
        </w:rPr>
        <w:t xml:space="preserve">. </w:t>
      </w:r>
      <w:r w:rsidRPr="00FE7CD7">
        <w:rPr>
          <w:rFonts w:cs="Arial"/>
          <w:szCs w:val="20"/>
          <w:lang w:val="es-CO" w:eastAsia="es-CO"/>
        </w:rPr>
        <w:t>PARTICULARIDADES NO CAPTADAS</w:t>
      </w:r>
      <w:bookmarkEnd w:id="27"/>
    </w:p>
    <w:p w14:paraId="20AFB41E" w14:textId="77777777" w:rsidR="000045D9" w:rsidRDefault="000045D9" w:rsidP="00AC75FB">
      <w:pPr>
        <w:spacing w:after="0" w:line="240" w:lineRule="auto"/>
        <w:jc w:val="both"/>
        <w:rPr>
          <w:rFonts w:ascii="Arial" w:hAnsi="Arial" w:cs="Arial"/>
          <w:sz w:val="20"/>
          <w:szCs w:val="20"/>
          <w:lang w:val="es-CO" w:eastAsia="es-CO"/>
        </w:rPr>
      </w:pPr>
    </w:p>
    <w:p w14:paraId="0F9DA284" w14:textId="77777777" w:rsidR="00B600F9" w:rsidRPr="00B600F9" w:rsidRDefault="00B600F9" w:rsidP="00B600F9">
      <w:pPr>
        <w:spacing w:after="0" w:line="240" w:lineRule="auto"/>
        <w:jc w:val="both"/>
        <w:rPr>
          <w:rFonts w:ascii="Arial" w:hAnsi="Arial" w:cs="Arial"/>
          <w:sz w:val="20"/>
          <w:szCs w:val="20"/>
          <w:lang w:val="es-CO" w:eastAsia="es-CO"/>
        </w:rPr>
      </w:pPr>
      <w:r w:rsidRPr="00B600F9">
        <w:rPr>
          <w:rFonts w:ascii="Arial" w:hAnsi="Arial" w:cs="Arial"/>
          <w:sz w:val="20"/>
          <w:szCs w:val="20"/>
          <w:lang w:val="es-CO" w:eastAsia="es-CO"/>
        </w:rPr>
        <w:t xml:space="preserve">Particularidades No Captadas – PNC es </w:t>
      </w:r>
      <w:r>
        <w:rPr>
          <w:rFonts w:ascii="Arial" w:hAnsi="Arial" w:cs="Arial"/>
          <w:sz w:val="20"/>
          <w:szCs w:val="20"/>
          <w:lang w:val="es-CO" w:eastAsia="es-CO"/>
        </w:rPr>
        <w:t xml:space="preserve">la metodología de análisis de sensibilidad </w:t>
      </w:r>
      <w:r w:rsidR="00DD15EC">
        <w:rPr>
          <w:rFonts w:ascii="Arial" w:hAnsi="Arial" w:cs="Arial"/>
          <w:sz w:val="20"/>
          <w:szCs w:val="20"/>
          <w:lang w:val="es-CO" w:eastAsia="es-CO"/>
        </w:rPr>
        <w:t>que identifica de forma porcentual l</w:t>
      </w:r>
      <w:r w:rsidRPr="00B600F9">
        <w:rPr>
          <w:rFonts w:ascii="Arial" w:hAnsi="Arial" w:cs="Arial"/>
          <w:sz w:val="20"/>
          <w:szCs w:val="20"/>
          <w:lang w:val="es-CO" w:eastAsia="es-CO"/>
        </w:rPr>
        <w:t>as características no reconocidas dentro de los costos del modelo o las</w:t>
      </w:r>
      <w:r w:rsidRPr="00B600F9">
        <w:rPr>
          <w:rFonts w:ascii="Arial" w:hAnsi="Arial" w:cs="Arial"/>
          <w:sz w:val="20"/>
          <w:szCs w:val="20"/>
          <w:lang w:val="es-MX"/>
        </w:rPr>
        <w:t xml:space="preserve"> variables explicativas de aquellos prestadores que no se encuentren en la frontera de eficiencia</w:t>
      </w:r>
      <w:r>
        <w:rPr>
          <w:rFonts w:ascii="Arial" w:hAnsi="Arial" w:cs="Arial"/>
          <w:sz w:val="20"/>
          <w:szCs w:val="20"/>
          <w:lang w:val="es-MX"/>
        </w:rPr>
        <w:t>.</w:t>
      </w:r>
    </w:p>
    <w:p w14:paraId="2D705D99" w14:textId="77777777" w:rsidR="00B600F9" w:rsidRDefault="00B600F9" w:rsidP="00AC75FB">
      <w:pPr>
        <w:spacing w:after="0" w:line="240" w:lineRule="auto"/>
        <w:rPr>
          <w:rFonts w:ascii="Arial" w:hAnsi="Arial" w:cs="Arial"/>
          <w:sz w:val="20"/>
          <w:szCs w:val="20"/>
          <w:lang w:val="es-CO" w:eastAsia="es-CO"/>
        </w:rPr>
      </w:pPr>
    </w:p>
    <w:p w14:paraId="4AC38089" w14:textId="77777777" w:rsidR="00654D4A" w:rsidRPr="00872B66" w:rsidRDefault="00BD55E3" w:rsidP="00DD15EC">
      <w:pPr>
        <w:spacing w:after="0" w:line="240" w:lineRule="auto"/>
        <w:jc w:val="both"/>
        <w:rPr>
          <w:rFonts w:ascii="Arial" w:hAnsi="Arial" w:cs="Arial"/>
          <w:sz w:val="20"/>
          <w:szCs w:val="20"/>
        </w:rPr>
      </w:pPr>
      <w:r w:rsidRPr="00B94C48">
        <w:rPr>
          <w:rFonts w:ascii="Arial" w:hAnsi="Arial" w:cs="Arial"/>
          <w:sz w:val="20"/>
          <w:szCs w:val="20"/>
          <w:lang w:val="es-CO" w:eastAsia="es-CO"/>
        </w:rPr>
        <w:t xml:space="preserve">Los </w:t>
      </w:r>
      <w:r w:rsidR="00FE7CD7" w:rsidRPr="00B94C48">
        <w:rPr>
          <w:rFonts w:ascii="Arial" w:hAnsi="Arial" w:cs="Arial"/>
          <w:sz w:val="20"/>
          <w:szCs w:val="20"/>
          <w:lang w:val="es-CO" w:eastAsia="es-CO"/>
        </w:rPr>
        <w:t>análisis de sensibilidad</w:t>
      </w:r>
      <w:r w:rsidR="00B600F9" w:rsidRPr="00B94C48">
        <w:rPr>
          <w:rFonts w:ascii="Arial" w:hAnsi="Arial" w:cs="Arial"/>
          <w:sz w:val="20"/>
          <w:szCs w:val="20"/>
          <w:lang w:val="es-CO" w:eastAsia="es-CO"/>
        </w:rPr>
        <w:t xml:space="preserve"> </w:t>
      </w:r>
      <w:r w:rsidR="00FE7CD7" w:rsidRPr="00B94C48">
        <w:rPr>
          <w:rFonts w:ascii="Arial" w:hAnsi="Arial" w:cs="Arial"/>
          <w:sz w:val="20"/>
          <w:szCs w:val="20"/>
          <w:lang w:val="es-CO" w:eastAsia="es-CO"/>
        </w:rPr>
        <w:t>ayuda</w:t>
      </w:r>
      <w:r w:rsidRPr="00B94C48">
        <w:rPr>
          <w:rFonts w:ascii="Arial" w:hAnsi="Arial" w:cs="Arial"/>
          <w:sz w:val="20"/>
          <w:szCs w:val="20"/>
          <w:lang w:val="es-CO" w:eastAsia="es-CO"/>
        </w:rPr>
        <w:t>n</w:t>
      </w:r>
      <w:r w:rsidR="00FE7CD7" w:rsidRPr="00B94C48">
        <w:rPr>
          <w:rFonts w:ascii="Arial" w:hAnsi="Arial" w:cs="Arial"/>
          <w:sz w:val="20"/>
          <w:szCs w:val="20"/>
          <w:lang w:val="es-CO" w:eastAsia="es-CO"/>
        </w:rPr>
        <w:t xml:space="preserve"> a identificar el impacto en la eficiencia de una empresa prestadora cuando ciertos parámetros son modificados en el modelo.  </w:t>
      </w:r>
      <w:r w:rsidR="00FE7CD7" w:rsidRPr="00B94C48">
        <w:rPr>
          <w:rFonts w:ascii="Arial" w:hAnsi="Arial" w:cs="Arial"/>
          <w:sz w:val="20"/>
          <w:szCs w:val="20"/>
        </w:rPr>
        <w:t>Existen diferentes formas</w:t>
      </w:r>
      <w:r w:rsidR="00654D4A" w:rsidRPr="00B94C48">
        <w:rPr>
          <w:rFonts w:ascii="Arial" w:hAnsi="Arial" w:cs="Arial"/>
          <w:sz w:val="20"/>
          <w:szCs w:val="20"/>
        </w:rPr>
        <w:t xml:space="preserve"> en la literatura</w:t>
      </w:r>
      <w:r w:rsidR="00FE7CD7" w:rsidRPr="00B94C48">
        <w:rPr>
          <w:rFonts w:ascii="Arial" w:hAnsi="Arial" w:cs="Arial"/>
          <w:sz w:val="20"/>
          <w:szCs w:val="20"/>
        </w:rPr>
        <w:t xml:space="preserve"> para probar la se</w:t>
      </w:r>
      <w:r w:rsidRPr="00B94C48">
        <w:rPr>
          <w:rFonts w:ascii="Arial" w:hAnsi="Arial" w:cs="Arial"/>
          <w:sz w:val="20"/>
          <w:szCs w:val="20"/>
        </w:rPr>
        <w:t xml:space="preserve">nsibilidad de los resultados del </w:t>
      </w:r>
      <w:r w:rsidR="00FE7CD7" w:rsidRPr="00B94C48">
        <w:rPr>
          <w:rFonts w:ascii="Arial" w:hAnsi="Arial" w:cs="Arial"/>
          <w:sz w:val="20"/>
          <w:szCs w:val="20"/>
        </w:rPr>
        <w:t xml:space="preserve">DEA. Una de </w:t>
      </w:r>
      <w:r w:rsidR="00654D4A" w:rsidRPr="00B94C48">
        <w:rPr>
          <w:rFonts w:ascii="Arial" w:hAnsi="Arial" w:cs="Arial"/>
          <w:sz w:val="20"/>
          <w:szCs w:val="20"/>
        </w:rPr>
        <w:t>las</w:t>
      </w:r>
      <w:r w:rsidR="00FE7CD7" w:rsidRPr="00B94C48">
        <w:rPr>
          <w:rFonts w:ascii="Arial" w:hAnsi="Arial" w:cs="Arial"/>
          <w:sz w:val="20"/>
          <w:szCs w:val="20"/>
        </w:rPr>
        <w:t xml:space="preserve"> metodologías, consiste en </w:t>
      </w:r>
      <w:r w:rsidR="00654D4A" w:rsidRPr="00B94C48">
        <w:rPr>
          <w:rFonts w:ascii="Arial" w:hAnsi="Arial" w:cs="Arial"/>
          <w:sz w:val="20"/>
          <w:szCs w:val="20"/>
        </w:rPr>
        <w:t>adicionar o excluir insumos y</w:t>
      </w:r>
      <w:r w:rsidR="00FE7CD7" w:rsidRPr="00B94C48">
        <w:rPr>
          <w:rFonts w:ascii="Arial" w:hAnsi="Arial" w:cs="Arial"/>
          <w:sz w:val="20"/>
          <w:szCs w:val="20"/>
        </w:rPr>
        <w:t xml:space="preserve"> productos </w:t>
      </w:r>
      <w:r w:rsidR="00654D4A" w:rsidRPr="00B94C48">
        <w:rPr>
          <w:rFonts w:ascii="Arial" w:hAnsi="Arial" w:cs="Arial"/>
          <w:sz w:val="20"/>
          <w:szCs w:val="20"/>
        </w:rPr>
        <w:t>para estimar el P</w:t>
      </w:r>
      <w:r w:rsidR="00654D4A" w:rsidRPr="00B94C48">
        <w:rPr>
          <w:rFonts w:ascii="Arial" w:hAnsi="Arial" w:cs="Arial"/>
          <w:sz w:val="20"/>
          <w:szCs w:val="20"/>
          <w:vertAlign w:val="subscript"/>
        </w:rPr>
        <w:t>DEA</w:t>
      </w:r>
      <w:r w:rsidR="00E06ADE" w:rsidRPr="00B94C48">
        <w:rPr>
          <w:rStyle w:val="Refdenotaalpie"/>
          <w:rFonts w:ascii="Arial" w:hAnsi="Arial" w:cs="Arial"/>
          <w:sz w:val="20"/>
          <w:szCs w:val="20"/>
        </w:rPr>
        <w:footnoteReference w:id="25"/>
      </w:r>
      <w:r w:rsidR="00654D4A" w:rsidRPr="00B94C48">
        <w:rPr>
          <w:rFonts w:ascii="Arial" w:hAnsi="Arial" w:cs="Arial"/>
          <w:sz w:val="20"/>
          <w:szCs w:val="20"/>
        </w:rPr>
        <w:t>.</w:t>
      </w:r>
      <w:r w:rsidR="00654D4A" w:rsidRPr="00872B66">
        <w:rPr>
          <w:rFonts w:ascii="Arial" w:hAnsi="Arial" w:cs="Arial"/>
          <w:sz w:val="20"/>
          <w:szCs w:val="20"/>
        </w:rPr>
        <w:t xml:space="preserve"> </w:t>
      </w:r>
    </w:p>
    <w:p w14:paraId="4926EC53" w14:textId="77777777" w:rsidR="00654D4A" w:rsidRDefault="00654D4A" w:rsidP="00DD15EC">
      <w:pPr>
        <w:spacing w:after="0" w:line="240" w:lineRule="auto"/>
        <w:jc w:val="both"/>
        <w:rPr>
          <w:rFonts w:ascii="Arial" w:hAnsi="Arial" w:cs="Arial"/>
          <w:sz w:val="20"/>
          <w:szCs w:val="20"/>
          <w:highlight w:val="yellow"/>
        </w:rPr>
      </w:pPr>
    </w:p>
    <w:p w14:paraId="7544FCD9" w14:textId="77777777" w:rsidR="000045D9" w:rsidRPr="004803F5" w:rsidRDefault="000045D9" w:rsidP="004803F5">
      <w:pPr>
        <w:spacing w:after="0" w:line="240" w:lineRule="auto"/>
        <w:jc w:val="both"/>
        <w:rPr>
          <w:rFonts w:ascii="Arial" w:hAnsi="Arial" w:cs="Arial"/>
          <w:sz w:val="20"/>
          <w:szCs w:val="20"/>
        </w:rPr>
      </w:pPr>
      <w:r w:rsidRPr="00F7314C">
        <w:rPr>
          <w:rFonts w:ascii="Arial" w:hAnsi="Arial" w:cs="Arial"/>
          <w:sz w:val="20"/>
          <w:szCs w:val="20"/>
        </w:rPr>
        <w:t xml:space="preserve">La determinación de las PNC de los modelos de costos administrativos y costos </w:t>
      </w:r>
      <w:r w:rsidRPr="004803F5">
        <w:rPr>
          <w:rFonts w:ascii="Arial" w:hAnsi="Arial" w:cs="Arial"/>
          <w:sz w:val="20"/>
          <w:szCs w:val="20"/>
        </w:rPr>
        <w:t>operativos, se calculó con la información de las variables insumo y producto reportadas por los prestadores que cumplieron los parámetros y criterios definidos para el cálculo del P</w:t>
      </w:r>
      <w:r w:rsidRPr="004803F5">
        <w:rPr>
          <w:rFonts w:ascii="Arial" w:hAnsi="Arial" w:cs="Arial"/>
          <w:sz w:val="20"/>
          <w:szCs w:val="20"/>
          <w:vertAlign w:val="subscript"/>
        </w:rPr>
        <w:t>DEA</w:t>
      </w:r>
      <w:r w:rsidRPr="004803F5">
        <w:rPr>
          <w:rFonts w:ascii="Arial" w:hAnsi="Arial" w:cs="Arial"/>
          <w:sz w:val="20"/>
          <w:szCs w:val="20"/>
        </w:rPr>
        <w:t>.</w:t>
      </w:r>
      <w:r w:rsidR="001010E4" w:rsidRPr="001010E4">
        <w:t xml:space="preserve"> </w:t>
      </w:r>
      <w:r w:rsidR="001010E4" w:rsidRPr="001010E4">
        <w:rPr>
          <w:rFonts w:ascii="Arial" w:hAnsi="Arial" w:cs="Arial"/>
          <w:sz w:val="20"/>
          <w:szCs w:val="20"/>
        </w:rPr>
        <w:t>Se optó por estimar las PNC con las empresas que cumplieron los parámetros y criterios definidos para el cálculo del PDEA, dado que son las que tenían la información completa para estimar los correspondientes modelos.</w:t>
      </w:r>
    </w:p>
    <w:p w14:paraId="72A502B8" w14:textId="77777777" w:rsidR="000045D9" w:rsidRPr="004803F5" w:rsidRDefault="000045D9" w:rsidP="004803F5">
      <w:pPr>
        <w:spacing w:after="0" w:line="240" w:lineRule="auto"/>
        <w:jc w:val="both"/>
        <w:rPr>
          <w:rFonts w:ascii="Arial" w:hAnsi="Arial" w:cs="Arial"/>
          <w:sz w:val="20"/>
          <w:szCs w:val="20"/>
        </w:rPr>
      </w:pPr>
    </w:p>
    <w:p w14:paraId="3F6650A5" w14:textId="4D1ACA16" w:rsidR="000045D9" w:rsidRDefault="000045D9" w:rsidP="004803F5">
      <w:pPr>
        <w:spacing w:after="0" w:line="240" w:lineRule="auto"/>
        <w:jc w:val="both"/>
        <w:rPr>
          <w:rFonts w:ascii="Arial" w:hAnsi="Arial" w:cs="Arial"/>
          <w:sz w:val="20"/>
          <w:szCs w:val="20"/>
        </w:rPr>
      </w:pPr>
      <w:r w:rsidRPr="004803F5">
        <w:rPr>
          <w:rFonts w:ascii="Arial" w:hAnsi="Arial" w:cs="Arial"/>
          <w:sz w:val="20"/>
          <w:szCs w:val="20"/>
        </w:rPr>
        <w:t>Para la respectiva estimación, se realizó un análisis de sensibilidad, en el cual se corrieron cinco modelos DEA para los costos administrativos y cuatro modelos DEA para los costos operativos, con el objeto de establecer la sensibilidad del modelo base (modelo con todas las variables) con la exclusión uno a uno de los productos identificados anteriormente.</w:t>
      </w:r>
    </w:p>
    <w:p w14:paraId="17C78117" w14:textId="77777777" w:rsidR="00A2533C" w:rsidRDefault="00A2533C" w:rsidP="004803F5">
      <w:pPr>
        <w:spacing w:after="0" w:line="240" w:lineRule="auto"/>
        <w:jc w:val="both"/>
        <w:rPr>
          <w:rFonts w:ascii="Arial" w:hAnsi="Arial" w:cs="Arial"/>
          <w:sz w:val="20"/>
          <w:szCs w:val="20"/>
        </w:rPr>
      </w:pPr>
    </w:p>
    <w:p w14:paraId="533090E6" w14:textId="1D1B9C20" w:rsidR="000045D9" w:rsidRPr="004803F5" w:rsidRDefault="000045D9" w:rsidP="004C0CEB">
      <w:pPr>
        <w:pStyle w:val="Descripcin"/>
        <w:spacing w:after="0" w:line="240" w:lineRule="auto"/>
        <w:jc w:val="center"/>
        <w:rPr>
          <w:rFonts w:ascii="Arial" w:hAnsi="Arial" w:cs="Arial"/>
        </w:rPr>
      </w:pPr>
      <w:bookmarkStart w:id="28" w:name="_Toc476385629"/>
      <w:bookmarkStart w:id="29" w:name="_Toc492664389"/>
      <w:bookmarkStart w:id="30" w:name="_Toc506988571"/>
      <w:r w:rsidRPr="004803F5">
        <w:rPr>
          <w:rFonts w:ascii="Arial" w:hAnsi="Arial" w:cs="Arial"/>
        </w:rPr>
        <w:t xml:space="preserve">Tabla </w:t>
      </w:r>
      <w:r w:rsidRPr="004803F5">
        <w:rPr>
          <w:rFonts w:ascii="Arial" w:hAnsi="Arial" w:cs="Arial"/>
        </w:rPr>
        <w:fldChar w:fldCharType="begin"/>
      </w:r>
      <w:r w:rsidRPr="004803F5">
        <w:rPr>
          <w:rFonts w:ascii="Arial" w:hAnsi="Arial" w:cs="Arial"/>
        </w:rPr>
        <w:instrText xml:space="preserve"> SEQ Tabla \* ARABIC </w:instrText>
      </w:r>
      <w:r w:rsidRPr="004803F5">
        <w:rPr>
          <w:rFonts w:ascii="Arial" w:hAnsi="Arial" w:cs="Arial"/>
        </w:rPr>
        <w:fldChar w:fldCharType="separate"/>
      </w:r>
      <w:r w:rsidR="00DC72BE">
        <w:rPr>
          <w:rFonts w:ascii="Arial" w:hAnsi="Arial" w:cs="Arial"/>
          <w:noProof/>
        </w:rPr>
        <w:t>8</w:t>
      </w:r>
      <w:r w:rsidRPr="004803F5">
        <w:rPr>
          <w:rFonts w:ascii="Arial" w:hAnsi="Arial" w:cs="Arial"/>
        </w:rPr>
        <w:fldChar w:fldCharType="end"/>
      </w:r>
      <w:r w:rsidRPr="004803F5">
        <w:rPr>
          <w:rFonts w:ascii="Arial" w:hAnsi="Arial" w:cs="Arial"/>
        </w:rPr>
        <w:t>. PNC Modelo Costos A</w:t>
      </w:r>
      <w:bookmarkEnd w:id="28"/>
      <w:r w:rsidRPr="004803F5">
        <w:rPr>
          <w:rFonts w:ascii="Arial" w:hAnsi="Arial" w:cs="Arial"/>
        </w:rPr>
        <w:t>dministrativos para las empresas del primer segmento que hacen parte del grupo básico</w:t>
      </w:r>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1"/>
        <w:gridCol w:w="1841"/>
        <w:gridCol w:w="1108"/>
      </w:tblGrid>
      <w:tr w:rsidR="000045D9" w:rsidRPr="004803F5" w14:paraId="339B7BFE" w14:textId="77777777" w:rsidTr="00736162">
        <w:trPr>
          <w:trHeight w:val="20"/>
          <w:tblHeader/>
          <w:jc w:val="center"/>
        </w:trPr>
        <w:tc>
          <w:tcPr>
            <w:tcW w:w="0" w:type="auto"/>
            <w:shd w:val="clear" w:color="auto" w:fill="auto"/>
            <w:noWrap/>
            <w:vAlign w:val="bottom"/>
            <w:hideMark/>
          </w:tcPr>
          <w:p w14:paraId="0933A1EC" w14:textId="77777777" w:rsidR="000045D9" w:rsidRPr="004803F5" w:rsidRDefault="000045D9" w:rsidP="004803F5">
            <w:pPr>
              <w:spacing w:after="0" w:line="240" w:lineRule="auto"/>
              <w:jc w:val="center"/>
              <w:rPr>
                <w:rFonts w:ascii="Arial" w:eastAsia="Times New Roman" w:hAnsi="Arial" w:cs="Arial"/>
                <w:b/>
                <w:bCs/>
                <w:sz w:val="20"/>
                <w:szCs w:val="20"/>
                <w:lang w:eastAsia="es-CO"/>
              </w:rPr>
            </w:pPr>
            <w:r w:rsidRPr="004803F5">
              <w:rPr>
                <w:rFonts w:ascii="Arial" w:eastAsia="Times New Roman" w:hAnsi="Arial" w:cs="Arial"/>
                <w:b/>
                <w:bCs/>
                <w:sz w:val="20"/>
                <w:szCs w:val="20"/>
                <w:lang w:eastAsia="es-CO"/>
              </w:rPr>
              <w:t>MODELO</w:t>
            </w:r>
          </w:p>
        </w:tc>
        <w:tc>
          <w:tcPr>
            <w:tcW w:w="0" w:type="auto"/>
            <w:shd w:val="clear" w:color="auto" w:fill="auto"/>
            <w:noWrap/>
            <w:vAlign w:val="bottom"/>
            <w:hideMark/>
          </w:tcPr>
          <w:p w14:paraId="1CD79076" w14:textId="77777777" w:rsidR="000045D9" w:rsidRPr="004803F5" w:rsidRDefault="000045D9" w:rsidP="004803F5">
            <w:pPr>
              <w:spacing w:after="0" w:line="240" w:lineRule="auto"/>
              <w:jc w:val="center"/>
              <w:rPr>
                <w:rFonts w:ascii="Arial" w:eastAsia="Times New Roman" w:hAnsi="Arial" w:cs="Arial"/>
                <w:b/>
                <w:bCs/>
                <w:sz w:val="20"/>
                <w:szCs w:val="20"/>
                <w:lang w:eastAsia="es-CO"/>
              </w:rPr>
            </w:pPr>
            <w:r w:rsidRPr="004803F5">
              <w:rPr>
                <w:rFonts w:ascii="Arial" w:eastAsia="Times New Roman" w:hAnsi="Arial" w:cs="Arial"/>
                <w:b/>
                <w:bCs/>
                <w:sz w:val="20"/>
                <w:szCs w:val="20"/>
                <w:lang w:eastAsia="es-CO"/>
              </w:rPr>
              <w:t>Puntaje Promedio</w:t>
            </w:r>
          </w:p>
        </w:tc>
        <w:tc>
          <w:tcPr>
            <w:tcW w:w="0" w:type="auto"/>
            <w:shd w:val="clear" w:color="auto" w:fill="auto"/>
            <w:noWrap/>
            <w:vAlign w:val="bottom"/>
            <w:hideMark/>
          </w:tcPr>
          <w:p w14:paraId="14CDBB6A" w14:textId="77777777" w:rsidR="000045D9" w:rsidRPr="004803F5" w:rsidRDefault="000045D9" w:rsidP="004803F5">
            <w:pPr>
              <w:spacing w:after="0" w:line="240" w:lineRule="auto"/>
              <w:jc w:val="center"/>
              <w:rPr>
                <w:rFonts w:ascii="Arial" w:eastAsia="Times New Roman" w:hAnsi="Arial" w:cs="Arial"/>
                <w:b/>
                <w:bCs/>
                <w:sz w:val="20"/>
                <w:szCs w:val="20"/>
                <w:lang w:eastAsia="es-CO"/>
              </w:rPr>
            </w:pPr>
            <w:r w:rsidRPr="004803F5">
              <w:rPr>
                <w:rFonts w:ascii="Arial" w:eastAsia="Times New Roman" w:hAnsi="Arial" w:cs="Arial"/>
                <w:b/>
                <w:bCs/>
                <w:sz w:val="20"/>
                <w:szCs w:val="20"/>
                <w:lang w:eastAsia="es-CO"/>
              </w:rPr>
              <w:t>Diferencia</w:t>
            </w:r>
          </w:p>
        </w:tc>
      </w:tr>
      <w:tr w:rsidR="000045D9" w:rsidRPr="004803F5" w14:paraId="76EB3005" w14:textId="77777777" w:rsidTr="00736162">
        <w:trPr>
          <w:trHeight w:val="20"/>
          <w:jc w:val="center"/>
        </w:trPr>
        <w:tc>
          <w:tcPr>
            <w:tcW w:w="0" w:type="auto"/>
            <w:shd w:val="clear" w:color="auto" w:fill="auto"/>
            <w:noWrap/>
            <w:vAlign w:val="bottom"/>
            <w:hideMark/>
          </w:tcPr>
          <w:p w14:paraId="6EF098BC" w14:textId="77777777" w:rsidR="000045D9" w:rsidRPr="004803F5" w:rsidRDefault="000045D9" w:rsidP="004803F5">
            <w:pPr>
              <w:spacing w:after="0" w:line="240" w:lineRule="auto"/>
              <w:rPr>
                <w:rFonts w:ascii="Arial" w:eastAsia="Times New Roman" w:hAnsi="Arial" w:cs="Arial"/>
                <w:sz w:val="20"/>
                <w:szCs w:val="20"/>
                <w:lang w:eastAsia="es-CO"/>
              </w:rPr>
            </w:pPr>
            <w:r w:rsidRPr="004803F5">
              <w:rPr>
                <w:rFonts w:ascii="Arial" w:eastAsia="Times New Roman" w:hAnsi="Arial" w:cs="Arial"/>
                <w:sz w:val="20"/>
                <w:szCs w:val="20"/>
                <w:lang w:eastAsia="es-CO"/>
              </w:rPr>
              <w:t>Modelo con todas las variables</w:t>
            </w:r>
          </w:p>
        </w:tc>
        <w:tc>
          <w:tcPr>
            <w:tcW w:w="0" w:type="auto"/>
            <w:shd w:val="clear" w:color="auto" w:fill="auto"/>
            <w:noWrap/>
            <w:hideMark/>
          </w:tcPr>
          <w:p w14:paraId="1F205FDB"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82,76%</w:t>
            </w:r>
          </w:p>
        </w:tc>
        <w:tc>
          <w:tcPr>
            <w:tcW w:w="0" w:type="auto"/>
            <w:shd w:val="clear" w:color="auto" w:fill="auto"/>
            <w:noWrap/>
            <w:hideMark/>
          </w:tcPr>
          <w:p w14:paraId="380A1C44" w14:textId="77777777" w:rsidR="000045D9" w:rsidRPr="004803F5" w:rsidRDefault="000045D9" w:rsidP="004803F5">
            <w:pPr>
              <w:spacing w:after="0" w:line="240" w:lineRule="auto"/>
              <w:jc w:val="center"/>
              <w:rPr>
                <w:rFonts w:ascii="Arial" w:hAnsi="Arial" w:cs="Arial"/>
                <w:sz w:val="20"/>
                <w:szCs w:val="20"/>
              </w:rPr>
            </w:pPr>
          </w:p>
        </w:tc>
      </w:tr>
      <w:tr w:rsidR="000045D9" w:rsidRPr="004803F5" w14:paraId="25CAFBF8" w14:textId="77777777" w:rsidTr="00736162">
        <w:trPr>
          <w:trHeight w:val="20"/>
          <w:jc w:val="center"/>
        </w:trPr>
        <w:tc>
          <w:tcPr>
            <w:tcW w:w="0" w:type="auto"/>
            <w:shd w:val="clear" w:color="auto" w:fill="auto"/>
            <w:noWrap/>
            <w:vAlign w:val="bottom"/>
            <w:hideMark/>
          </w:tcPr>
          <w:p w14:paraId="379E2F6C" w14:textId="77777777" w:rsidR="000045D9" w:rsidRPr="004803F5" w:rsidRDefault="000045D9" w:rsidP="004803F5">
            <w:pPr>
              <w:spacing w:after="0" w:line="240" w:lineRule="auto"/>
              <w:rPr>
                <w:rFonts w:ascii="Arial" w:eastAsia="Times New Roman" w:hAnsi="Arial" w:cs="Arial"/>
                <w:sz w:val="20"/>
                <w:szCs w:val="20"/>
                <w:lang w:eastAsia="es-CO"/>
              </w:rPr>
            </w:pPr>
            <w:r w:rsidRPr="004803F5">
              <w:rPr>
                <w:rFonts w:ascii="Arial" w:eastAsia="Times New Roman" w:hAnsi="Arial" w:cs="Arial"/>
                <w:sz w:val="20"/>
                <w:szCs w:val="20"/>
                <w:lang w:eastAsia="es-CO"/>
              </w:rPr>
              <w:t>Modelo sin suscriptores de Acueducto</w:t>
            </w:r>
          </w:p>
        </w:tc>
        <w:tc>
          <w:tcPr>
            <w:tcW w:w="0" w:type="auto"/>
            <w:shd w:val="clear" w:color="auto" w:fill="auto"/>
            <w:noWrap/>
            <w:hideMark/>
          </w:tcPr>
          <w:p w14:paraId="4A8E0299"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82,76%</w:t>
            </w:r>
          </w:p>
        </w:tc>
        <w:tc>
          <w:tcPr>
            <w:tcW w:w="0" w:type="auto"/>
            <w:shd w:val="clear" w:color="auto" w:fill="auto"/>
            <w:noWrap/>
            <w:hideMark/>
          </w:tcPr>
          <w:p w14:paraId="4506828C"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0,00%</w:t>
            </w:r>
          </w:p>
        </w:tc>
      </w:tr>
      <w:tr w:rsidR="000045D9" w:rsidRPr="004803F5" w14:paraId="2CD5E175" w14:textId="77777777" w:rsidTr="00736162">
        <w:trPr>
          <w:trHeight w:val="20"/>
          <w:jc w:val="center"/>
        </w:trPr>
        <w:tc>
          <w:tcPr>
            <w:tcW w:w="0" w:type="auto"/>
            <w:shd w:val="clear" w:color="auto" w:fill="auto"/>
            <w:noWrap/>
            <w:vAlign w:val="bottom"/>
            <w:hideMark/>
          </w:tcPr>
          <w:p w14:paraId="77311B07" w14:textId="77777777" w:rsidR="000045D9" w:rsidRPr="004803F5" w:rsidRDefault="000045D9" w:rsidP="004803F5">
            <w:pPr>
              <w:spacing w:after="0" w:line="240" w:lineRule="auto"/>
              <w:rPr>
                <w:rFonts w:ascii="Arial" w:eastAsia="Times New Roman" w:hAnsi="Arial" w:cs="Arial"/>
                <w:sz w:val="20"/>
                <w:szCs w:val="20"/>
                <w:lang w:eastAsia="es-CO"/>
              </w:rPr>
            </w:pPr>
            <w:r w:rsidRPr="004803F5">
              <w:rPr>
                <w:rFonts w:ascii="Arial" w:eastAsia="Times New Roman" w:hAnsi="Arial" w:cs="Arial"/>
                <w:sz w:val="20"/>
                <w:szCs w:val="20"/>
                <w:lang w:eastAsia="es-CO"/>
              </w:rPr>
              <w:t>Modelo sin Suscriptores de  Alcantarillado</w:t>
            </w:r>
          </w:p>
        </w:tc>
        <w:tc>
          <w:tcPr>
            <w:tcW w:w="0" w:type="auto"/>
            <w:shd w:val="clear" w:color="auto" w:fill="auto"/>
            <w:noWrap/>
            <w:hideMark/>
          </w:tcPr>
          <w:p w14:paraId="31E6D5C1"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82,61%</w:t>
            </w:r>
          </w:p>
        </w:tc>
        <w:tc>
          <w:tcPr>
            <w:tcW w:w="0" w:type="auto"/>
            <w:shd w:val="clear" w:color="auto" w:fill="auto"/>
            <w:noWrap/>
            <w:hideMark/>
          </w:tcPr>
          <w:p w14:paraId="7FA30A7A"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-0,15%</w:t>
            </w:r>
          </w:p>
        </w:tc>
      </w:tr>
      <w:tr w:rsidR="000045D9" w:rsidRPr="004803F5" w14:paraId="54A784ED" w14:textId="77777777" w:rsidTr="00736162">
        <w:trPr>
          <w:trHeight w:val="20"/>
          <w:jc w:val="center"/>
        </w:trPr>
        <w:tc>
          <w:tcPr>
            <w:tcW w:w="0" w:type="auto"/>
            <w:shd w:val="clear" w:color="auto" w:fill="auto"/>
            <w:noWrap/>
            <w:vAlign w:val="bottom"/>
            <w:hideMark/>
          </w:tcPr>
          <w:p w14:paraId="24371827" w14:textId="77777777" w:rsidR="000045D9" w:rsidRPr="004803F5" w:rsidRDefault="000045D9" w:rsidP="004803F5">
            <w:pPr>
              <w:spacing w:after="0" w:line="240" w:lineRule="auto"/>
              <w:rPr>
                <w:rFonts w:ascii="Arial" w:eastAsia="Times New Roman" w:hAnsi="Arial" w:cs="Arial"/>
                <w:sz w:val="20"/>
                <w:szCs w:val="20"/>
                <w:lang w:eastAsia="es-CO"/>
              </w:rPr>
            </w:pPr>
            <w:r w:rsidRPr="004803F5">
              <w:rPr>
                <w:rFonts w:ascii="Arial" w:eastAsia="Times New Roman" w:hAnsi="Arial" w:cs="Arial"/>
                <w:sz w:val="20"/>
                <w:szCs w:val="20"/>
                <w:lang w:eastAsia="es-CO"/>
              </w:rPr>
              <w:t>Modelo sin suscriptores con Micromedidor en buen estado</w:t>
            </w:r>
          </w:p>
        </w:tc>
        <w:tc>
          <w:tcPr>
            <w:tcW w:w="0" w:type="auto"/>
            <w:shd w:val="clear" w:color="auto" w:fill="auto"/>
            <w:noWrap/>
            <w:hideMark/>
          </w:tcPr>
          <w:p w14:paraId="70A6510E"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82,73%</w:t>
            </w:r>
          </w:p>
        </w:tc>
        <w:tc>
          <w:tcPr>
            <w:tcW w:w="0" w:type="auto"/>
            <w:shd w:val="clear" w:color="auto" w:fill="auto"/>
            <w:noWrap/>
            <w:hideMark/>
          </w:tcPr>
          <w:p w14:paraId="37806B77"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-0,03%</w:t>
            </w:r>
          </w:p>
        </w:tc>
      </w:tr>
      <w:tr w:rsidR="000045D9" w:rsidRPr="004803F5" w14:paraId="79E1E65F" w14:textId="77777777" w:rsidTr="00736162">
        <w:trPr>
          <w:trHeight w:val="20"/>
          <w:jc w:val="center"/>
        </w:trPr>
        <w:tc>
          <w:tcPr>
            <w:tcW w:w="0" w:type="auto"/>
            <w:shd w:val="clear" w:color="auto" w:fill="auto"/>
            <w:noWrap/>
            <w:vAlign w:val="bottom"/>
            <w:hideMark/>
          </w:tcPr>
          <w:p w14:paraId="39A369FD" w14:textId="77777777" w:rsidR="000045D9" w:rsidRPr="004803F5" w:rsidRDefault="000045D9" w:rsidP="004803F5">
            <w:pPr>
              <w:spacing w:after="0" w:line="240" w:lineRule="auto"/>
              <w:rPr>
                <w:rFonts w:ascii="Arial" w:eastAsia="Times New Roman" w:hAnsi="Arial" w:cs="Arial"/>
                <w:sz w:val="20"/>
                <w:szCs w:val="20"/>
                <w:lang w:eastAsia="es-CO"/>
              </w:rPr>
            </w:pPr>
            <w:r w:rsidRPr="004803F5">
              <w:rPr>
                <w:rFonts w:ascii="Arial" w:eastAsia="Times New Roman" w:hAnsi="Arial" w:cs="Arial"/>
                <w:sz w:val="20"/>
                <w:szCs w:val="20"/>
                <w:lang w:eastAsia="es-CO"/>
              </w:rPr>
              <w:t>Modelo sin Suscriptores Estratos 1 Y 2</w:t>
            </w:r>
          </w:p>
        </w:tc>
        <w:tc>
          <w:tcPr>
            <w:tcW w:w="0" w:type="auto"/>
            <w:shd w:val="clear" w:color="auto" w:fill="auto"/>
            <w:noWrap/>
            <w:hideMark/>
          </w:tcPr>
          <w:p w14:paraId="4D25EC58"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75,04%</w:t>
            </w:r>
          </w:p>
        </w:tc>
        <w:tc>
          <w:tcPr>
            <w:tcW w:w="0" w:type="auto"/>
            <w:shd w:val="clear" w:color="auto" w:fill="auto"/>
            <w:noWrap/>
            <w:hideMark/>
          </w:tcPr>
          <w:p w14:paraId="42E8D937"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-7,72%</w:t>
            </w:r>
          </w:p>
        </w:tc>
      </w:tr>
      <w:tr w:rsidR="000045D9" w:rsidRPr="004803F5" w14:paraId="0146CA6A" w14:textId="77777777" w:rsidTr="00736162">
        <w:trPr>
          <w:trHeight w:val="20"/>
          <w:jc w:val="center"/>
        </w:trPr>
        <w:tc>
          <w:tcPr>
            <w:tcW w:w="0" w:type="auto"/>
            <w:shd w:val="clear" w:color="auto" w:fill="auto"/>
            <w:noWrap/>
            <w:vAlign w:val="bottom"/>
            <w:hideMark/>
          </w:tcPr>
          <w:p w14:paraId="6A4FD115" w14:textId="77777777" w:rsidR="000045D9" w:rsidRPr="004803F5" w:rsidRDefault="000045D9" w:rsidP="004803F5">
            <w:pPr>
              <w:spacing w:after="0" w:line="240" w:lineRule="auto"/>
              <w:rPr>
                <w:rFonts w:ascii="Arial" w:eastAsia="Times New Roman" w:hAnsi="Arial" w:cs="Arial"/>
                <w:sz w:val="20"/>
                <w:szCs w:val="20"/>
                <w:lang w:eastAsia="es-CO"/>
              </w:rPr>
            </w:pPr>
            <w:r w:rsidRPr="004803F5">
              <w:rPr>
                <w:rFonts w:ascii="Arial" w:eastAsia="Times New Roman" w:hAnsi="Arial" w:cs="Arial"/>
                <w:sz w:val="20"/>
                <w:szCs w:val="20"/>
                <w:lang w:eastAsia="es-CO"/>
              </w:rPr>
              <w:t>Modelo sin Suscriptores Industriales y Comerciales</w:t>
            </w:r>
          </w:p>
        </w:tc>
        <w:tc>
          <w:tcPr>
            <w:tcW w:w="0" w:type="auto"/>
            <w:shd w:val="clear" w:color="auto" w:fill="auto"/>
            <w:noWrap/>
            <w:hideMark/>
          </w:tcPr>
          <w:p w14:paraId="1314F52A"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81,34%</w:t>
            </w:r>
          </w:p>
        </w:tc>
        <w:tc>
          <w:tcPr>
            <w:tcW w:w="0" w:type="auto"/>
            <w:shd w:val="clear" w:color="auto" w:fill="auto"/>
            <w:noWrap/>
            <w:hideMark/>
          </w:tcPr>
          <w:p w14:paraId="260DFA44" w14:textId="00532EF4" w:rsidR="000045D9" w:rsidRPr="004803F5" w:rsidRDefault="00F80B53" w:rsidP="004803F5">
            <w:pPr>
              <w:spacing w:after="0" w:line="240" w:lineRule="auto"/>
              <w:jc w:val="center"/>
              <w:rPr>
                <w:rFonts w:ascii="Arial" w:hAnsi="Arial" w:cs="Arial"/>
                <w:sz w:val="20"/>
                <w:szCs w:val="20"/>
              </w:rPr>
            </w:pPr>
            <w:r>
              <w:rPr>
                <w:rFonts w:ascii="Arial" w:hAnsi="Arial" w:cs="Arial"/>
                <w:sz w:val="20"/>
                <w:szCs w:val="20"/>
              </w:rPr>
              <w:t>-1,42</w:t>
            </w:r>
            <w:r w:rsidR="000045D9" w:rsidRPr="004803F5">
              <w:rPr>
                <w:rFonts w:ascii="Arial" w:hAnsi="Arial" w:cs="Arial"/>
                <w:sz w:val="20"/>
                <w:szCs w:val="20"/>
              </w:rPr>
              <w:t>%</w:t>
            </w:r>
          </w:p>
        </w:tc>
      </w:tr>
      <w:tr w:rsidR="000045D9" w:rsidRPr="004803F5" w14:paraId="4A77EE08" w14:textId="77777777" w:rsidTr="00736162">
        <w:trPr>
          <w:trHeight w:val="20"/>
          <w:jc w:val="center"/>
        </w:trPr>
        <w:tc>
          <w:tcPr>
            <w:tcW w:w="0" w:type="auto"/>
            <w:shd w:val="clear" w:color="auto" w:fill="auto"/>
            <w:noWrap/>
            <w:vAlign w:val="bottom"/>
            <w:hideMark/>
          </w:tcPr>
          <w:p w14:paraId="13CFF178" w14:textId="06CD74FB" w:rsidR="000045D9" w:rsidRPr="004803F5" w:rsidRDefault="000045D9" w:rsidP="004803F5">
            <w:pPr>
              <w:spacing w:after="0" w:line="240" w:lineRule="auto"/>
              <w:jc w:val="center"/>
              <w:rPr>
                <w:rFonts w:ascii="Arial" w:eastAsia="Times New Roman" w:hAnsi="Arial" w:cs="Arial"/>
                <w:b/>
                <w:bCs/>
                <w:sz w:val="20"/>
                <w:szCs w:val="20"/>
                <w:lang w:eastAsia="es-CO"/>
              </w:rPr>
            </w:pPr>
            <w:r w:rsidRPr="004803F5">
              <w:rPr>
                <w:rFonts w:ascii="Arial" w:eastAsia="Times New Roman" w:hAnsi="Arial" w:cs="Arial"/>
                <w:b/>
                <w:bCs/>
                <w:sz w:val="20"/>
                <w:szCs w:val="20"/>
                <w:lang w:eastAsia="es-CO"/>
              </w:rPr>
              <w:t>PROMEDIO</w:t>
            </w:r>
            <w:r w:rsidR="00DC72BE">
              <w:rPr>
                <w:rFonts w:ascii="Arial" w:eastAsia="Times New Roman" w:hAnsi="Arial" w:cs="Arial"/>
                <w:b/>
                <w:bCs/>
                <w:sz w:val="20"/>
                <w:szCs w:val="20"/>
                <w:lang w:eastAsia="es-CO"/>
              </w:rPr>
              <w:t xml:space="preserve"> </w:t>
            </w:r>
            <w:r w:rsidR="00DC72BE">
              <w:rPr>
                <w:rFonts w:ascii="Arial" w:hAnsi="Arial" w:cs="Arial"/>
                <w:b/>
                <w:bCs/>
                <w:sz w:val="20"/>
                <w:szCs w:val="20"/>
              </w:rPr>
              <w:t>(en términos absoluto)</w:t>
            </w:r>
          </w:p>
        </w:tc>
        <w:tc>
          <w:tcPr>
            <w:tcW w:w="0" w:type="auto"/>
            <w:shd w:val="clear" w:color="auto" w:fill="auto"/>
            <w:noWrap/>
            <w:hideMark/>
          </w:tcPr>
          <w:p w14:paraId="2B6F3B79" w14:textId="77777777" w:rsidR="000045D9" w:rsidRPr="004803F5" w:rsidRDefault="000045D9" w:rsidP="004803F5">
            <w:pPr>
              <w:spacing w:after="0" w:line="240" w:lineRule="auto"/>
              <w:jc w:val="center"/>
              <w:rPr>
                <w:rFonts w:ascii="Arial" w:hAnsi="Arial" w:cs="Arial"/>
                <w:b/>
                <w:sz w:val="20"/>
                <w:szCs w:val="20"/>
              </w:rPr>
            </w:pPr>
          </w:p>
        </w:tc>
        <w:tc>
          <w:tcPr>
            <w:tcW w:w="0" w:type="auto"/>
            <w:shd w:val="clear" w:color="auto" w:fill="auto"/>
            <w:noWrap/>
            <w:hideMark/>
          </w:tcPr>
          <w:p w14:paraId="65495CBF" w14:textId="77777777" w:rsidR="000045D9" w:rsidRPr="004803F5" w:rsidRDefault="000045D9" w:rsidP="004803F5">
            <w:pPr>
              <w:spacing w:after="0" w:line="240" w:lineRule="auto"/>
              <w:jc w:val="center"/>
              <w:rPr>
                <w:rFonts w:ascii="Arial" w:hAnsi="Arial" w:cs="Arial"/>
                <w:b/>
                <w:sz w:val="20"/>
                <w:szCs w:val="20"/>
              </w:rPr>
            </w:pPr>
            <w:r w:rsidRPr="004803F5">
              <w:rPr>
                <w:rFonts w:ascii="Arial" w:hAnsi="Arial" w:cs="Arial"/>
                <w:b/>
                <w:sz w:val="20"/>
                <w:szCs w:val="20"/>
              </w:rPr>
              <w:t>1,86%</w:t>
            </w:r>
          </w:p>
        </w:tc>
      </w:tr>
    </w:tbl>
    <w:p w14:paraId="75F37495" w14:textId="77777777" w:rsidR="000045D9" w:rsidRPr="004803F5" w:rsidRDefault="000045D9" w:rsidP="004803F5">
      <w:pPr>
        <w:pStyle w:val="Textoindependiente21"/>
        <w:widowControl/>
        <w:tabs>
          <w:tab w:val="clear" w:pos="-720"/>
        </w:tabs>
        <w:jc w:val="center"/>
        <w:rPr>
          <w:rFonts w:cs="Arial"/>
          <w:sz w:val="20"/>
        </w:rPr>
      </w:pPr>
    </w:p>
    <w:p w14:paraId="17CC6381" w14:textId="12F82B43" w:rsidR="000045D9" w:rsidRPr="004803F5" w:rsidRDefault="000045D9" w:rsidP="00E626A6">
      <w:pPr>
        <w:pStyle w:val="Descripcin"/>
        <w:spacing w:after="0" w:line="240" w:lineRule="auto"/>
        <w:jc w:val="center"/>
        <w:rPr>
          <w:rFonts w:ascii="Arial" w:hAnsi="Arial" w:cs="Arial"/>
        </w:rPr>
      </w:pPr>
      <w:bookmarkStart w:id="31" w:name="_Toc476385630"/>
      <w:bookmarkStart w:id="32" w:name="_Toc492664390"/>
      <w:bookmarkStart w:id="33" w:name="_Toc506988572"/>
      <w:r w:rsidRPr="004803F5">
        <w:rPr>
          <w:rFonts w:ascii="Arial" w:hAnsi="Arial" w:cs="Arial"/>
        </w:rPr>
        <w:t xml:space="preserve">Tabla </w:t>
      </w:r>
      <w:r w:rsidRPr="004803F5">
        <w:rPr>
          <w:rFonts w:ascii="Arial" w:hAnsi="Arial" w:cs="Arial"/>
        </w:rPr>
        <w:fldChar w:fldCharType="begin"/>
      </w:r>
      <w:r w:rsidRPr="004803F5">
        <w:rPr>
          <w:rFonts w:ascii="Arial" w:hAnsi="Arial" w:cs="Arial"/>
        </w:rPr>
        <w:instrText xml:space="preserve"> SEQ Tabla \* ARABIC </w:instrText>
      </w:r>
      <w:r w:rsidRPr="004803F5">
        <w:rPr>
          <w:rFonts w:ascii="Arial" w:hAnsi="Arial" w:cs="Arial"/>
        </w:rPr>
        <w:fldChar w:fldCharType="separate"/>
      </w:r>
      <w:r w:rsidR="00DC72BE">
        <w:rPr>
          <w:rFonts w:ascii="Arial" w:hAnsi="Arial" w:cs="Arial"/>
          <w:noProof/>
        </w:rPr>
        <w:t>9</w:t>
      </w:r>
      <w:r w:rsidRPr="004803F5">
        <w:rPr>
          <w:rFonts w:ascii="Arial" w:hAnsi="Arial" w:cs="Arial"/>
        </w:rPr>
        <w:fldChar w:fldCharType="end"/>
      </w:r>
      <w:r w:rsidRPr="004803F5">
        <w:rPr>
          <w:rFonts w:ascii="Arial" w:hAnsi="Arial" w:cs="Arial"/>
        </w:rPr>
        <w:t>. PNC Modelo Costos O</w:t>
      </w:r>
      <w:bookmarkEnd w:id="31"/>
      <w:r w:rsidRPr="004803F5">
        <w:rPr>
          <w:rFonts w:ascii="Arial" w:hAnsi="Arial" w:cs="Arial"/>
        </w:rPr>
        <w:t>perativos para las empresas del primer segmento que hacen parte del grupo básico</w:t>
      </w:r>
      <w:bookmarkEnd w:id="32"/>
      <w:bookmarkEnd w:id="33"/>
    </w:p>
    <w:tbl>
      <w:tblPr>
        <w:tblW w:w="0" w:type="auto"/>
        <w:jc w:val="center"/>
        <w:tblCellMar>
          <w:left w:w="70" w:type="dxa"/>
          <w:right w:w="70" w:type="dxa"/>
        </w:tblCellMar>
        <w:tblLook w:val="04A0" w:firstRow="1" w:lastRow="0" w:firstColumn="1" w:lastColumn="0" w:noHBand="0" w:noVBand="1"/>
      </w:tblPr>
      <w:tblGrid>
        <w:gridCol w:w="3441"/>
        <w:gridCol w:w="1841"/>
        <w:gridCol w:w="1108"/>
      </w:tblGrid>
      <w:tr w:rsidR="000045D9" w:rsidRPr="004803F5" w14:paraId="506F2EB7" w14:textId="77777777" w:rsidTr="00736162">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20A95" w14:textId="77777777" w:rsidR="000045D9" w:rsidRPr="004803F5" w:rsidRDefault="000045D9" w:rsidP="004803F5">
            <w:pPr>
              <w:spacing w:after="0" w:line="240" w:lineRule="auto"/>
              <w:jc w:val="center"/>
              <w:rPr>
                <w:rFonts w:ascii="Arial" w:eastAsia="Times New Roman" w:hAnsi="Arial" w:cs="Arial"/>
                <w:b/>
                <w:bCs/>
                <w:sz w:val="20"/>
                <w:szCs w:val="20"/>
                <w:lang w:eastAsia="es-CO"/>
              </w:rPr>
            </w:pPr>
            <w:r w:rsidRPr="004803F5">
              <w:rPr>
                <w:rFonts w:ascii="Arial" w:eastAsia="Times New Roman" w:hAnsi="Arial" w:cs="Arial"/>
                <w:b/>
                <w:bCs/>
                <w:sz w:val="20"/>
                <w:szCs w:val="20"/>
                <w:lang w:eastAsia="es-CO"/>
              </w:rPr>
              <w:t>MODELO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CAAE1" w14:textId="77777777" w:rsidR="000045D9" w:rsidRPr="004803F5" w:rsidRDefault="000045D9" w:rsidP="004803F5">
            <w:pPr>
              <w:spacing w:after="0" w:line="240" w:lineRule="auto"/>
              <w:jc w:val="center"/>
              <w:rPr>
                <w:rFonts w:ascii="Arial" w:eastAsia="Times New Roman" w:hAnsi="Arial" w:cs="Arial"/>
                <w:b/>
                <w:bCs/>
                <w:sz w:val="20"/>
                <w:szCs w:val="20"/>
                <w:lang w:eastAsia="es-CO"/>
              </w:rPr>
            </w:pPr>
            <w:r w:rsidRPr="004803F5">
              <w:rPr>
                <w:rFonts w:ascii="Arial" w:eastAsia="Times New Roman" w:hAnsi="Arial" w:cs="Arial"/>
                <w:b/>
                <w:bCs/>
                <w:sz w:val="20"/>
                <w:szCs w:val="20"/>
                <w:lang w:eastAsia="es-CO"/>
              </w:rPr>
              <w:t>Puntaje Promedio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44EC9" w14:textId="77777777" w:rsidR="000045D9" w:rsidRPr="004803F5" w:rsidRDefault="000045D9" w:rsidP="004803F5">
            <w:pPr>
              <w:spacing w:after="0" w:line="240" w:lineRule="auto"/>
              <w:jc w:val="center"/>
              <w:rPr>
                <w:rFonts w:ascii="Arial" w:eastAsia="Times New Roman" w:hAnsi="Arial" w:cs="Arial"/>
                <w:b/>
                <w:bCs/>
                <w:sz w:val="20"/>
                <w:szCs w:val="20"/>
                <w:lang w:eastAsia="es-CO"/>
              </w:rPr>
            </w:pPr>
            <w:r w:rsidRPr="004803F5">
              <w:rPr>
                <w:rFonts w:ascii="Arial" w:eastAsia="Times New Roman" w:hAnsi="Arial" w:cs="Arial"/>
                <w:b/>
                <w:bCs/>
                <w:sz w:val="20"/>
                <w:szCs w:val="20"/>
                <w:lang w:eastAsia="es-CO"/>
              </w:rPr>
              <w:t>Diferencia</w:t>
            </w:r>
          </w:p>
        </w:tc>
      </w:tr>
      <w:tr w:rsidR="000045D9" w:rsidRPr="004803F5" w14:paraId="61E54B02" w14:textId="77777777" w:rsidTr="0073616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5FF713" w14:textId="77777777" w:rsidR="000045D9" w:rsidRPr="004803F5" w:rsidRDefault="000045D9" w:rsidP="004803F5">
            <w:pPr>
              <w:spacing w:after="0" w:line="240" w:lineRule="auto"/>
              <w:rPr>
                <w:rFonts w:ascii="Arial" w:eastAsia="Times New Roman" w:hAnsi="Arial" w:cs="Arial"/>
                <w:sz w:val="20"/>
                <w:szCs w:val="20"/>
                <w:lang w:eastAsia="es-CO"/>
              </w:rPr>
            </w:pPr>
            <w:r w:rsidRPr="004803F5">
              <w:rPr>
                <w:rFonts w:ascii="Arial" w:hAnsi="Arial" w:cs="Arial"/>
                <w:sz w:val="20"/>
                <w:szCs w:val="20"/>
              </w:rPr>
              <w:t>Modelo con todas las variables</w:t>
            </w:r>
          </w:p>
        </w:tc>
        <w:tc>
          <w:tcPr>
            <w:tcW w:w="0" w:type="auto"/>
            <w:tcBorders>
              <w:top w:val="nil"/>
              <w:left w:val="nil"/>
              <w:bottom w:val="single" w:sz="4" w:space="0" w:color="auto"/>
              <w:right w:val="single" w:sz="4" w:space="0" w:color="auto"/>
            </w:tcBorders>
            <w:shd w:val="clear" w:color="auto" w:fill="auto"/>
            <w:noWrap/>
            <w:hideMark/>
          </w:tcPr>
          <w:p w14:paraId="00967085"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91,29%</w:t>
            </w:r>
          </w:p>
        </w:tc>
        <w:tc>
          <w:tcPr>
            <w:tcW w:w="0" w:type="auto"/>
            <w:tcBorders>
              <w:top w:val="nil"/>
              <w:left w:val="nil"/>
              <w:bottom w:val="single" w:sz="4" w:space="0" w:color="auto"/>
              <w:right w:val="single" w:sz="4" w:space="0" w:color="auto"/>
            </w:tcBorders>
            <w:shd w:val="clear" w:color="auto" w:fill="auto"/>
            <w:noWrap/>
            <w:hideMark/>
          </w:tcPr>
          <w:p w14:paraId="26673EE9" w14:textId="77777777" w:rsidR="000045D9" w:rsidRPr="004803F5" w:rsidRDefault="000045D9" w:rsidP="004803F5">
            <w:pPr>
              <w:spacing w:after="0" w:line="240" w:lineRule="auto"/>
              <w:jc w:val="center"/>
              <w:rPr>
                <w:rFonts w:ascii="Arial" w:hAnsi="Arial" w:cs="Arial"/>
                <w:sz w:val="20"/>
                <w:szCs w:val="20"/>
              </w:rPr>
            </w:pPr>
          </w:p>
        </w:tc>
      </w:tr>
      <w:tr w:rsidR="000045D9" w:rsidRPr="004803F5" w14:paraId="1AC931AA" w14:textId="77777777" w:rsidTr="0073616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B7351" w14:textId="77777777" w:rsidR="000045D9" w:rsidRPr="004803F5" w:rsidRDefault="000045D9" w:rsidP="004803F5">
            <w:pPr>
              <w:spacing w:after="0" w:line="240" w:lineRule="auto"/>
              <w:rPr>
                <w:rFonts w:ascii="Arial" w:hAnsi="Arial" w:cs="Arial"/>
                <w:sz w:val="20"/>
                <w:szCs w:val="20"/>
              </w:rPr>
            </w:pPr>
            <w:r w:rsidRPr="004803F5">
              <w:rPr>
                <w:rFonts w:ascii="Arial" w:hAnsi="Arial" w:cs="Arial"/>
                <w:sz w:val="20"/>
                <w:szCs w:val="20"/>
              </w:rPr>
              <w:t>Modelo sin m3 facturados</w:t>
            </w:r>
          </w:p>
        </w:tc>
        <w:tc>
          <w:tcPr>
            <w:tcW w:w="0" w:type="auto"/>
            <w:tcBorders>
              <w:top w:val="nil"/>
              <w:left w:val="nil"/>
              <w:bottom w:val="single" w:sz="4" w:space="0" w:color="auto"/>
              <w:right w:val="single" w:sz="4" w:space="0" w:color="auto"/>
            </w:tcBorders>
            <w:shd w:val="clear" w:color="auto" w:fill="auto"/>
            <w:noWrap/>
            <w:hideMark/>
          </w:tcPr>
          <w:p w14:paraId="7F03B5A6"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90,84%</w:t>
            </w:r>
          </w:p>
        </w:tc>
        <w:tc>
          <w:tcPr>
            <w:tcW w:w="0" w:type="auto"/>
            <w:tcBorders>
              <w:top w:val="nil"/>
              <w:left w:val="nil"/>
              <w:bottom w:val="single" w:sz="4" w:space="0" w:color="auto"/>
              <w:right w:val="single" w:sz="4" w:space="0" w:color="auto"/>
            </w:tcBorders>
            <w:shd w:val="clear" w:color="auto" w:fill="auto"/>
            <w:noWrap/>
            <w:hideMark/>
          </w:tcPr>
          <w:p w14:paraId="4C5CAF98"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-0,45%</w:t>
            </w:r>
          </w:p>
        </w:tc>
      </w:tr>
      <w:tr w:rsidR="000045D9" w:rsidRPr="004803F5" w14:paraId="0FCEEC24" w14:textId="77777777" w:rsidTr="0073616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82F943" w14:textId="77777777" w:rsidR="000045D9" w:rsidRPr="004803F5" w:rsidRDefault="000045D9" w:rsidP="004803F5">
            <w:pPr>
              <w:spacing w:after="0" w:line="240" w:lineRule="auto"/>
              <w:rPr>
                <w:rFonts w:ascii="Arial" w:hAnsi="Arial" w:cs="Arial"/>
                <w:sz w:val="20"/>
                <w:szCs w:val="20"/>
              </w:rPr>
            </w:pPr>
            <w:r w:rsidRPr="004803F5">
              <w:rPr>
                <w:rFonts w:ascii="Arial" w:hAnsi="Arial" w:cs="Arial"/>
                <w:sz w:val="20"/>
                <w:szCs w:val="20"/>
              </w:rPr>
              <w:t>Modelo sin m3 vertidos</w:t>
            </w:r>
          </w:p>
        </w:tc>
        <w:tc>
          <w:tcPr>
            <w:tcW w:w="0" w:type="auto"/>
            <w:tcBorders>
              <w:top w:val="nil"/>
              <w:left w:val="nil"/>
              <w:bottom w:val="single" w:sz="4" w:space="0" w:color="auto"/>
              <w:right w:val="single" w:sz="4" w:space="0" w:color="auto"/>
            </w:tcBorders>
            <w:shd w:val="clear" w:color="auto" w:fill="auto"/>
            <w:noWrap/>
            <w:hideMark/>
          </w:tcPr>
          <w:p w14:paraId="42A14326"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91,00%</w:t>
            </w:r>
          </w:p>
        </w:tc>
        <w:tc>
          <w:tcPr>
            <w:tcW w:w="0" w:type="auto"/>
            <w:tcBorders>
              <w:top w:val="nil"/>
              <w:left w:val="nil"/>
              <w:bottom w:val="single" w:sz="4" w:space="0" w:color="auto"/>
              <w:right w:val="single" w:sz="4" w:space="0" w:color="auto"/>
            </w:tcBorders>
            <w:shd w:val="clear" w:color="auto" w:fill="auto"/>
            <w:noWrap/>
            <w:hideMark/>
          </w:tcPr>
          <w:p w14:paraId="3F99F168"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-0,29%</w:t>
            </w:r>
          </w:p>
        </w:tc>
      </w:tr>
      <w:tr w:rsidR="000045D9" w:rsidRPr="004803F5" w14:paraId="691B7053" w14:textId="77777777" w:rsidTr="0073616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45CDE3" w14:textId="77777777" w:rsidR="000045D9" w:rsidRPr="004803F5" w:rsidRDefault="000045D9" w:rsidP="004803F5">
            <w:pPr>
              <w:spacing w:after="0" w:line="240" w:lineRule="auto"/>
              <w:rPr>
                <w:rFonts w:ascii="Arial" w:hAnsi="Arial" w:cs="Arial"/>
                <w:sz w:val="20"/>
                <w:szCs w:val="20"/>
              </w:rPr>
            </w:pPr>
            <w:r w:rsidRPr="004803F5">
              <w:rPr>
                <w:rFonts w:ascii="Arial" w:hAnsi="Arial" w:cs="Arial"/>
                <w:sz w:val="20"/>
                <w:szCs w:val="20"/>
              </w:rPr>
              <w:t>Modelo sin tamaño de redes</w:t>
            </w:r>
          </w:p>
        </w:tc>
        <w:tc>
          <w:tcPr>
            <w:tcW w:w="0" w:type="auto"/>
            <w:tcBorders>
              <w:top w:val="nil"/>
              <w:left w:val="nil"/>
              <w:bottom w:val="single" w:sz="4" w:space="0" w:color="auto"/>
              <w:right w:val="single" w:sz="4" w:space="0" w:color="auto"/>
            </w:tcBorders>
            <w:shd w:val="clear" w:color="auto" w:fill="auto"/>
            <w:noWrap/>
            <w:hideMark/>
          </w:tcPr>
          <w:p w14:paraId="60F848C4"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91,10%</w:t>
            </w:r>
          </w:p>
        </w:tc>
        <w:tc>
          <w:tcPr>
            <w:tcW w:w="0" w:type="auto"/>
            <w:tcBorders>
              <w:top w:val="nil"/>
              <w:left w:val="nil"/>
              <w:bottom w:val="single" w:sz="4" w:space="0" w:color="auto"/>
              <w:right w:val="single" w:sz="4" w:space="0" w:color="auto"/>
            </w:tcBorders>
            <w:shd w:val="clear" w:color="auto" w:fill="auto"/>
            <w:noWrap/>
            <w:hideMark/>
          </w:tcPr>
          <w:p w14:paraId="300C7619"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-0,19%</w:t>
            </w:r>
          </w:p>
        </w:tc>
      </w:tr>
      <w:tr w:rsidR="000045D9" w:rsidRPr="004803F5" w14:paraId="28CF50E6" w14:textId="77777777" w:rsidTr="0073616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118C9" w14:textId="77777777" w:rsidR="000045D9" w:rsidRPr="004803F5" w:rsidRDefault="000045D9" w:rsidP="004803F5">
            <w:pPr>
              <w:spacing w:after="0" w:line="240" w:lineRule="auto"/>
              <w:rPr>
                <w:rFonts w:ascii="Arial" w:hAnsi="Arial" w:cs="Arial"/>
                <w:sz w:val="20"/>
                <w:szCs w:val="20"/>
              </w:rPr>
            </w:pPr>
            <w:r w:rsidRPr="004803F5">
              <w:rPr>
                <w:rFonts w:ascii="Arial" w:hAnsi="Arial" w:cs="Arial"/>
                <w:sz w:val="20"/>
                <w:szCs w:val="20"/>
              </w:rPr>
              <w:t>Modelo sin calidad de agua cruda</w:t>
            </w:r>
          </w:p>
        </w:tc>
        <w:tc>
          <w:tcPr>
            <w:tcW w:w="0" w:type="auto"/>
            <w:tcBorders>
              <w:top w:val="nil"/>
              <w:left w:val="nil"/>
              <w:bottom w:val="single" w:sz="4" w:space="0" w:color="auto"/>
              <w:right w:val="single" w:sz="4" w:space="0" w:color="auto"/>
            </w:tcBorders>
            <w:shd w:val="clear" w:color="auto" w:fill="auto"/>
            <w:noWrap/>
            <w:hideMark/>
          </w:tcPr>
          <w:p w14:paraId="1110C1CC"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84,81%</w:t>
            </w:r>
          </w:p>
        </w:tc>
        <w:tc>
          <w:tcPr>
            <w:tcW w:w="0" w:type="auto"/>
            <w:tcBorders>
              <w:top w:val="nil"/>
              <w:left w:val="nil"/>
              <w:bottom w:val="single" w:sz="4" w:space="0" w:color="auto"/>
              <w:right w:val="single" w:sz="4" w:space="0" w:color="auto"/>
            </w:tcBorders>
            <w:shd w:val="clear" w:color="auto" w:fill="auto"/>
            <w:noWrap/>
            <w:hideMark/>
          </w:tcPr>
          <w:p w14:paraId="4AE75C5E" w14:textId="77777777" w:rsidR="000045D9" w:rsidRPr="004803F5" w:rsidRDefault="000045D9" w:rsidP="004803F5">
            <w:pPr>
              <w:spacing w:after="0" w:line="240" w:lineRule="auto"/>
              <w:jc w:val="center"/>
              <w:rPr>
                <w:rFonts w:ascii="Arial" w:hAnsi="Arial" w:cs="Arial"/>
                <w:sz w:val="20"/>
                <w:szCs w:val="20"/>
              </w:rPr>
            </w:pPr>
            <w:r w:rsidRPr="004803F5">
              <w:rPr>
                <w:rFonts w:ascii="Arial" w:hAnsi="Arial" w:cs="Arial"/>
                <w:sz w:val="20"/>
                <w:szCs w:val="20"/>
              </w:rPr>
              <w:t>-6,48%</w:t>
            </w:r>
          </w:p>
        </w:tc>
      </w:tr>
      <w:tr w:rsidR="000045D9" w:rsidRPr="004803F5" w14:paraId="40C4B0A3" w14:textId="77777777" w:rsidTr="0073616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F5DB9" w14:textId="167D997F" w:rsidR="000045D9" w:rsidRPr="004803F5" w:rsidRDefault="000045D9" w:rsidP="00DC72BE">
            <w:pPr>
              <w:spacing w:after="0" w:line="240" w:lineRule="auto"/>
              <w:jc w:val="center"/>
              <w:rPr>
                <w:rFonts w:ascii="Arial" w:hAnsi="Arial" w:cs="Arial"/>
                <w:b/>
                <w:bCs/>
                <w:sz w:val="20"/>
                <w:szCs w:val="20"/>
              </w:rPr>
            </w:pPr>
            <w:r w:rsidRPr="004803F5">
              <w:rPr>
                <w:rFonts w:ascii="Arial" w:hAnsi="Arial" w:cs="Arial"/>
                <w:b/>
                <w:bCs/>
                <w:sz w:val="20"/>
                <w:szCs w:val="20"/>
              </w:rPr>
              <w:t>PROMEDIO</w:t>
            </w:r>
            <w:r w:rsidR="00DC72BE">
              <w:rPr>
                <w:rFonts w:ascii="Arial" w:hAnsi="Arial" w:cs="Arial"/>
                <w:b/>
                <w:bCs/>
                <w:sz w:val="20"/>
                <w:szCs w:val="20"/>
              </w:rPr>
              <w:t xml:space="preserve"> (en términos absoluto)</w:t>
            </w:r>
          </w:p>
        </w:tc>
        <w:tc>
          <w:tcPr>
            <w:tcW w:w="0" w:type="auto"/>
            <w:tcBorders>
              <w:top w:val="nil"/>
              <w:left w:val="nil"/>
              <w:bottom w:val="single" w:sz="4" w:space="0" w:color="auto"/>
              <w:right w:val="single" w:sz="4" w:space="0" w:color="auto"/>
            </w:tcBorders>
            <w:shd w:val="clear" w:color="auto" w:fill="auto"/>
            <w:noWrap/>
            <w:hideMark/>
          </w:tcPr>
          <w:p w14:paraId="499B57B3" w14:textId="77777777" w:rsidR="000045D9" w:rsidRPr="004803F5" w:rsidRDefault="000045D9" w:rsidP="004803F5">
            <w:pPr>
              <w:spacing w:after="0" w:line="240" w:lineRule="auto"/>
              <w:jc w:val="center"/>
              <w:rPr>
                <w:rFonts w:ascii="Arial" w:hAnsi="Arial" w:cs="Arial"/>
                <w:b/>
                <w:sz w:val="20"/>
                <w:szCs w:val="20"/>
              </w:rPr>
            </w:pPr>
          </w:p>
        </w:tc>
        <w:tc>
          <w:tcPr>
            <w:tcW w:w="0" w:type="auto"/>
            <w:tcBorders>
              <w:top w:val="nil"/>
              <w:left w:val="nil"/>
              <w:bottom w:val="single" w:sz="4" w:space="0" w:color="auto"/>
              <w:right w:val="single" w:sz="4" w:space="0" w:color="auto"/>
            </w:tcBorders>
            <w:shd w:val="clear" w:color="auto" w:fill="auto"/>
            <w:noWrap/>
            <w:hideMark/>
          </w:tcPr>
          <w:p w14:paraId="67805188" w14:textId="77777777" w:rsidR="000045D9" w:rsidRPr="004803F5" w:rsidRDefault="000045D9" w:rsidP="004803F5">
            <w:pPr>
              <w:spacing w:after="0" w:line="240" w:lineRule="auto"/>
              <w:jc w:val="center"/>
              <w:rPr>
                <w:rFonts w:ascii="Arial" w:hAnsi="Arial" w:cs="Arial"/>
                <w:b/>
                <w:sz w:val="20"/>
                <w:szCs w:val="20"/>
              </w:rPr>
            </w:pPr>
            <w:r w:rsidRPr="004803F5">
              <w:rPr>
                <w:rFonts w:ascii="Arial" w:hAnsi="Arial" w:cs="Arial"/>
                <w:b/>
                <w:sz w:val="20"/>
                <w:szCs w:val="20"/>
              </w:rPr>
              <w:t>1,85%</w:t>
            </w:r>
          </w:p>
        </w:tc>
      </w:tr>
    </w:tbl>
    <w:p w14:paraId="54B93C13" w14:textId="77777777" w:rsidR="000045D9" w:rsidRPr="004803F5" w:rsidRDefault="000045D9" w:rsidP="004803F5">
      <w:pPr>
        <w:pStyle w:val="Textoindependiente21"/>
        <w:widowControl/>
        <w:tabs>
          <w:tab w:val="clear" w:pos="-720"/>
        </w:tabs>
        <w:rPr>
          <w:rFonts w:cs="Arial"/>
          <w:sz w:val="20"/>
        </w:rPr>
      </w:pPr>
    </w:p>
    <w:p w14:paraId="61427D17" w14:textId="46821922" w:rsidR="00DE428A" w:rsidRDefault="00DE428A" w:rsidP="00DE428A">
      <w:pPr>
        <w:pStyle w:val="Textoindependiente21"/>
        <w:widowControl/>
        <w:tabs>
          <w:tab w:val="clear" w:pos="-720"/>
        </w:tabs>
        <w:rPr>
          <w:rFonts w:cs="Arial"/>
          <w:sz w:val="20"/>
        </w:rPr>
      </w:pPr>
      <w:r>
        <w:rPr>
          <w:rFonts w:cs="Arial"/>
          <w:sz w:val="20"/>
        </w:rPr>
        <w:t xml:space="preserve">Lo anterior, permite identificar en el modelo administrativo (Tablas </w:t>
      </w:r>
      <w:r w:rsidR="00DC72BE">
        <w:rPr>
          <w:rFonts w:cs="Arial"/>
          <w:sz w:val="20"/>
        </w:rPr>
        <w:t>8</w:t>
      </w:r>
      <w:r w:rsidR="00F82832">
        <w:rPr>
          <w:rFonts w:cs="Arial"/>
          <w:sz w:val="20"/>
        </w:rPr>
        <w:t xml:space="preserve"> y </w:t>
      </w:r>
      <w:r w:rsidR="00DC72BE">
        <w:rPr>
          <w:rFonts w:cs="Arial"/>
          <w:sz w:val="20"/>
        </w:rPr>
        <w:t>10</w:t>
      </w:r>
      <w:r w:rsidR="00F82832">
        <w:rPr>
          <w:rFonts w:cs="Arial"/>
          <w:sz w:val="20"/>
        </w:rPr>
        <w:t>) y modelo operativo (</w:t>
      </w:r>
      <w:r>
        <w:rPr>
          <w:rFonts w:cs="Arial"/>
          <w:sz w:val="20"/>
        </w:rPr>
        <w:t xml:space="preserve">Tablas </w:t>
      </w:r>
      <w:r w:rsidR="00DC72BE">
        <w:rPr>
          <w:rFonts w:cs="Arial"/>
          <w:sz w:val="20"/>
        </w:rPr>
        <w:t>9</w:t>
      </w:r>
      <w:r>
        <w:rPr>
          <w:rFonts w:cs="Arial"/>
          <w:sz w:val="20"/>
        </w:rPr>
        <w:t xml:space="preserve"> y </w:t>
      </w:r>
      <w:r w:rsidR="00DC72BE">
        <w:rPr>
          <w:rFonts w:cs="Arial"/>
          <w:sz w:val="20"/>
        </w:rPr>
        <w:t>11</w:t>
      </w:r>
      <w:r>
        <w:rPr>
          <w:rFonts w:cs="Arial"/>
          <w:sz w:val="20"/>
        </w:rPr>
        <w:t>) cuáles de los productos excluidos en cada uno, tiene mayor impacto</w:t>
      </w:r>
      <w:r w:rsidR="00F82832">
        <w:rPr>
          <w:rFonts w:cs="Arial"/>
          <w:sz w:val="20"/>
        </w:rPr>
        <w:t xml:space="preserve"> (</w:t>
      </w:r>
      <w:r>
        <w:rPr>
          <w:rFonts w:cs="Arial"/>
          <w:sz w:val="20"/>
        </w:rPr>
        <w:t>disminución o aumento) sobre la eficiencia de cada DMU incluida para la estimación de los puntajes DEA.</w:t>
      </w:r>
    </w:p>
    <w:p w14:paraId="4EC5D38A" w14:textId="77777777" w:rsidR="00DE428A" w:rsidRDefault="00DE428A" w:rsidP="00DE428A">
      <w:pPr>
        <w:pStyle w:val="Textoindependiente21"/>
        <w:widowControl/>
        <w:tabs>
          <w:tab w:val="clear" w:pos="-720"/>
        </w:tabs>
        <w:rPr>
          <w:rFonts w:cs="Arial"/>
          <w:sz w:val="20"/>
        </w:rPr>
      </w:pPr>
    </w:p>
    <w:p w14:paraId="16513C76" w14:textId="77777777" w:rsidR="000045D9" w:rsidRDefault="000045D9" w:rsidP="004803F5">
      <w:pPr>
        <w:pStyle w:val="Textoindependiente21"/>
        <w:widowControl/>
        <w:tabs>
          <w:tab w:val="clear" w:pos="-720"/>
        </w:tabs>
        <w:rPr>
          <w:rFonts w:cs="Arial"/>
          <w:sz w:val="20"/>
        </w:rPr>
      </w:pPr>
      <w:r w:rsidRPr="004803F5">
        <w:rPr>
          <w:rFonts w:cs="Arial"/>
          <w:sz w:val="20"/>
        </w:rPr>
        <w:t xml:space="preserve">Una vez obtenidos los </w:t>
      </w:r>
      <w:r w:rsidRPr="004803F5">
        <w:rPr>
          <w:rFonts w:cs="Arial"/>
          <w:i/>
          <w:iCs/>
          <w:sz w:val="20"/>
        </w:rPr>
        <w:t>puntajes</w:t>
      </w:r>
      <w:r w:rsidRPr="004803F5">
        <w:rPr>
          <w:rFonts w:cs="Arial"/>
          <w:sz w:val="20"/>
        </w:rPr>
        <w:t xml:space="preserve"> de cada modelo se estima el promedio de puntaje de eficiencia y se compara con el modelo base, de esta manera se encuentra la diferencia entre el </w:t>
      </w:r>
      <w:r w:rsidRPr="004803F5">
        <w:rPr>
          <w:rFonts w:cs="Arial"/>
          <w:i/>
          <w:iCs/>
          <w:sz w:val="20"/>
        </w:rPr>
        <w:t>puntaje</w:t>
      </w:r>
      <w:r w:rsidRPr="004803F5">
        <w:rPr>
          <w:rFonts w:cs="Arial"/>
          <w:sz w:val="20"/>
        </w:rPr>
        <w:t xml:space="preserve"> promedio de cada modelo y el modelo que incluye todas las variables. Finalmente, el promedio de diferencias constituye la sensibilidad del modelo base a la exclusión de cada una se los productos mencionados.</w:t>
      </w:r>
    </w:p>
    <w:p w14:paraId="458940DA" w14:textId="77777777" w:rsidR="005308FA" w:rsidRDefault="005308FA" w:rsidP="004803F5">
      <w:pPr>
        <w:pStyle w:val="Textoindependiente21"/>
        <w:widowControl/>
        <w:tabs>
          <w:tab w:val="clear" w:pos="-720"/>
        </w:tabs>
        <w:rPr>
          <w:rFonts w:cs="Arial"/>
          <w:sz w:val="20"/>
        </w:rPr>
      </w:pPr>
    </w:p>
    <w:p w14:paraId="3D89B7B3" w14:textId="77777777" w:rsidR="000045D9" w:rsidRPr="004803F5" w:rsidRDefault="000045D9" w:rsidP="004803F5">
      <w:pPr>
        <w:pStyle w:val="Textoindependiente21"/>
        <w:widowControl/>
        <w:tabs>
          <w:tab w:val="clear" w:pos="-720"/>
        </w:tabs>
        <w:rPr>
          <w:rFonts w:cs="Arial"/>
          <w:sz w:val="20"/>
          <w:lang w:val="es-MX"/>
        </w:rPr>
      </w:pPr>
      <w:r w:rsidRPr="004803F5">
        <w:rPr>
          <w:rFonts w:cs="Arial"/>
          <w:sz w:val="20"/>
          <w:lang w:val="es-MX"/>
        </w:rPr>
        <w:t>Teniendo en cuenta que las PNC se estiman para reconocer a las personas prestadoras un mayor valor del P</w:t>
      </w:r>
      <w:r w:rsidRPr="004803F5">
        <w:rPr>
          <w:rFonts w:cs="Arial"/>
          <w:sz w:val="20"/>
          <w:vertAlign w:val="subscript"/>
          <w:lang w:val="es-MX"/>
        </w:rPr>
        <w:t>DEA</w:t>
      </w:r>
      <w:r w:rsidRPr="004803F5">
        <w:rPr>
          <w:rFonts w:cs="Arial"/>
          <w:sz w:val="20"/>
          <w:lang w:val="es-MX"/>
        </w:rPr>
        <w:t xml:space="preserve">, el resultado obtenido, en términos absolutos, fue del 1,86% para los costos administrativos y 1,85% para los costos operativos, sobre el cual se asume que recoge las posibles particularidades no captadas dentro de los costos del modelo o las variables explicativas de aquellos prestadores que no se encuentren en la frontera de eficiencia; es decir, la sensibilidad del modelo elegido a la exclusión de una de estas variables. </w:t>
      </w:r>
    </w:p>
    <w:p w14:paraId="675912F6" w14:textId="77777777" w:rsidR="000045D9" w:rsidRPr="004803F5" w:rsidRDefault="000045D9" w:rsidP="004803F5">
      <w:pPr>
        <w:pStyle w:val="Textoindependiente21"/>
        <w:widowControl/>
        <w:tabs>
          <w:tab w:val="clear" w:pos="-720"/>
        </w:tabs>
        <w:rPr>
          <w:rFonts w:cs="Arial"/>
          <w:sz w:val="20"/>
          <w:lang w:val="es-MX"/>
        </w:rPr>
      </w:pPr>
    </w:p>
    <w:p w14:paraId="5F394567" w14:textId="77777777" w:rsidR="000045D9" w:rsidRPr="004803F5" w:rsidRDefault="000045D9" w:rsidP="004803F5">
      <w:pPr>
        <w:pStyle w:val="Textoindependiente21"/>
        <w:widowControl/>
        <w:tabs>
          <w:tab w:val="clear" w:pos="-720"/>
        </w:tabs>
        <w:rPr>
          <w:rFonts w:cs="Arial"/>
          <w:sz w:val="20"/>
          <w:lang w:val="es-MX"/>
        </w:rPr>
      </w:pPr>
      <w:r w:rsidRPr="004803F5">
        <w:rPr>
          <w:rFonts w:cs="Arial"/>
          <w:sz w:val="20"/>
          <w:lang w:val="es-MX"/>
        </w:rPr>
        <w:t>De igual forma, el porcentaje de particularidades no captadas en el modelo para costos administrativos, para aquellas personas prestadoras con APS del segundo segmento, que optaron por aplicar la metodología correspondiente al primero y que hacen parte del grupo básico, se fija en 2,30%, mientras que en el modelo para costos operativos</w:t>
      </w:r>
      <w:r w:rsidRPr="004803F5">
        <w:rPr>
          <w:rFonts w:cs="Arial"/>
          <w:sz w:val="20"/>
          <w:lang w:val="es-CO" w:eastAsia="zh-CN"/>
        </w:rPr>
        <w:t xml:space="preserve"> se establece en 3,41</w:t>
      </w:r>
      <w:r w:rsidRPr="004803F5">
        <w:rPr>
          <w:rFonts w:cs="Arial"/>
          <w:sz w:val="20"/>
          <w:lang w:val="es-MX" w:eastAsia="zh-CN"/>
        </w:rPr>
        <w:t>%.</w:t>
      </w:r>
    </w:p>
    <w:p w14:paraId="332858AF" w14:textId="77777777" w:rsidR="000045D9" w:rsidRPr="004803F5" w:rsidRDefault="000045D9" w:rsidP="004803F5">
      <w:pPr>
        <w:pStyle w:val="Descripcin"/>
        <w:spacing w:after="0" w:line="240" w:lineRule="auto"/>
        <w:rPr>
          <w:rFonts w:ascii="Arial" w:hAnsi="Arial" w:cs="Arial"/>
        </w:rPr>
      </w:pPr>
    </w:p>
    <w:p w14:paraId="2DDF0A5E" w14:textId="63B27E40" w:rsidR="000045D9" w:rsidRPr="004803F5" w:rsidRDefault="000045D9" w:rsidP="00E626A6">
      <w:pPr>
        <w:pStyle w:val="Descripcin"/>
        <w:spacing w:after="0" w:line="240" w:lineRule="auto"/>
        <w:jc w:val="center"/>
        <w:rPr>
          <w:rFonts w:ascii="Arial" w:hAnsi="Arial" w:cs="Arial"/>
        </w:rPr>
      </w:pPr>
      <w:bookmarkStart w:id="34" w:name="_Toc492664391"/>
      <w:bookmarkStart w:id="35" w:name="_Toc506988573"/>
      <w:r w:rsidRPr="004803F5">
        <w:rPr>
          <w:rFonts w:ascii="Arial" w:hAnsi="Arial" w:cs="Arial"/>
        </w:rPr>
        <w:t xml:space="preserve">Tabla </w:t>
      </w:r>
      <w:r w:rsidRPr="004803F5">
        <w:rPr>
          <w:rFonts w:ascii="Arial" w:hAnsi="Arial" w:cs="Arial"/>
        </w:rPr>
        <w:fldChar w:fldCharType="begin"/>
      </w:r>
      <w:r w:rsidRPr="004803F5">
        <w:rPr>
          <w:rFonts w:ascii="Arial" w:hAnsi="Arial" w:cs="Arial"/>
        </w:rPr>
        <w:instrText xml:space="preserve"> SEQ Tabla \* ARABIC </w:instrText>
      </w:r>
      <w:r w:rsidRPr="004803F5">
        <w:rPr>
          <w:rFonts w:ascii="Arial" w:hAnsi="Arial" w:cs="Arial"/>
        </w:rPr>
        <w:fldChar w:fldCharType="separate"/>
      </w:r>
      <w:r w:rsidR="00E626A6">
        <w:rPr>
          <w:rFonts w:ascii="Arial" w:hAnsi="Arial" w:cs="Arial"/>
          <w:noProof/>
        </w:rPr>
        <w:t>10</w:t>
      </w:r>
      <w:r w:rsidRPr="004803F5">
        <w:rPr>
          <w:rFonts w:ascii="Arial" w:hAnsi="Arial" w:cs="Arial"/>
        </w:rPr>
        <w:fldChar w:fldCharType="end"/>
      </w:r>
      <w:r w:rsidRPr="004803F5">
        <w:rPr>
          <w:rFonts w:ascii="Arial" w:hAnsi="Arial" w:cs="Arial"/>
        </w:rPr>
        <w:t>. PNC Modelo Costos Administrativos para aquellas personas prestadoras con APS del segundo segmento, que optaron por aplicar la metodología correspondiente al primero y que hacen parte del grupo básico</w:t>
      </w:r>
      <w:bookmarkEnd w:id="34"/>
      <w:bookmarkEnd w:id="35"/>
    </w:p>
    <w:tbl>
      <w:tblPr>
        <w:tblW w:w="7363" w:type="dxa"/>
        <w:jc w:val="center"/>
        <w:tblCellMar>
          <w:left w:w="70" w:type="dxa"/>
          <w:right w:w="70" w:type="dxa"/>
        </w:tblCellMar>
        <w:tblLook w:val="04A0" w:firstRow="1" w:lastRow="0" w:firstColumn="1" w:lastColumn="0" w:noHBand="0" w:noVBand="1"/>
      </w:tblPr>
      <w:tblGrid>
        <w:gridCol w:w="4840"/>
        <w:gridCol w:w="1160"/>
        <w:gridCol w:w="1363"/>
      </w:tblGrid>
      <w:tr w:rsidR="000045D9" w:rsidRPr="004803F5" w14:paraId="06787F13" w14:textId="77777777" w:rsidTr="00736162">
        <w:trPr>
          <w:trHeight w:val="20"/>
          <w:jc w:val="center"/>
        </w:trPr>
        <w:tc>
          <w:tcPr>
            <w:tcW w:w="4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9D74FD" w14:textId="77777777" w:rsidR="000045D9" w:rsidRPr="004803F5" w:rsidRDefault="000045D9" w:rsidP="004803F5">
            <w:pPr>
              <w:suppressAutoHyphens w:val="0"/>
              <w:spacing w:after="0" w:line="240" w:lineRule="auto"/>
              <w:jc w:val="center"/>
              <w:rPr>
                <w:rFonts w:ascii="Arial" w:eastAsia="Times New Roman" w:hAnsi="Arial" w:cs="Arial"/>
                <w:b/>
                <w:bCs/>
                <w:sz w:val="20"/>
                <w:szCs w:val="20"/>
                <w:lang w:val="es-CO" w:eastAsia="es-CO"/>
              </w:rPr>
            </w:pPr>
            <w:r w:rsidRPr="004803F5">
              <w:rPr>
                <w:rFonts w:ascii="Arial" w:eastAsia="Times New Roman" w:hAnsi="Arial" w:cs="Arial"/>
                <w:b/>
                <w:bCs/>
                <w:sz w:val="20"/>
                <w:szCs w:val="20"/>
                <w:lang w:val="es-CO" w:eastAsia="es-CO"/>
              </w:rPr>
              <w:t>MODELO</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14:paraId="139DFAA2" w14:textId="77777777" w:rsidR="000045D9" w:rsidRPr="004803F5" w:rsidRDefault="000045D9" w:rsidP="004803F5">
            <w:pPr>
              <w:suppressAutoHyphens w:val="0"/>
              <w:spacing w:after="0" w:line="240" w:lineRule="auto"/>
              <w:jc w:val="center"/>
              <w:rPr>
                <w:rFonts w:ascii="Arial" w:eastAsia="Times New Roman" w:hAnsi="Arial" w:cs="Arial"/>
                <w:b/>
                <w:bCs/>
                <w:sz w:val="20"/>
                <w:szCs w:val="20"/>
                <w:lang w:val="es-CO" w:eastAsia="es-CO"/>
              </w:rPr>
            </w:pPr>
            <w:r w:rsidRPr="004803F5">
              <w:rPr>
                <w:rFonts w:ascii="Arial" w:eastAsia="Times New Roman" w:hAnsi="Arial" w:cs="Arial"/>
                <w:b/>
                <w:bCs/>
                <w:sz w:val="20"/>
                <w:szCs w:val="20"/>
                <w:lang w:eastAsia="es-CO"/>
              </w:rPr>
              <w:t>Puntaje Promedio</w:t>
            </w:r>
          </w:p>
        </w:tc>
        <w:tc>
          <w:tcPr>
            <w:tcW w:w="1363" w:type="dxa"/>
            <w:tcBorders>
              <w:top w:val="single" w:sz="4" w:space="0" w:color="auto"/>
              <w:left w:val="nil"/>
              <w:bottom w:val="single" w:sz="4" w:space="0" w:color="auto"/>
              <w:right w:val="single" w:sz="4" w:space="0" w:color="auto"/>
            </w:tcBorders>
            <w:shd w:val="clear" w:color="000000" w:fill="FFFFFF"/>
            <w:noWrap/>
            <w:vAlign w:val="bottom"/>
            <w:hideMark/>
          </w:tcPr>
          <w:p w14:paraId="2EA4E1D5" w14:textId="77777777" w:rsidR="000045D9" w:rsidRPr="004803F5" w:rsidRDefault="000045D9" w:rsidP="004803F5">
            <w:pPr>
              <w:suppressAutoHyphens w:val="0"/>
              <w:spacing w:after="0" w:line="240" w:lineRule="auto"/>
              <w:jc w:val="center"/>
              <w:rPr>
                <w:rFonts w:ascii="Arial" w:eastAsia="Times New Roman" w:hAnsi="Arial" w:cs="Arial"/>
                <w:b/>
                <w:bCs/>
                <w:sz w:val="20"/>
                <w:szCs w:val="20"/>
                <w:lang w:val="es-CO" w:eastAsia="es-CO"/>
              </w:rPr>
            </w:pPr>
            <w:r w:rsidRPr="004803F5">
              <w:rPr>
                <w:rFonts w:ascii="Arial" w:eastAsia="Times New Roman" w:hAnsi="Arial" w:cs="Arial"/>
                <w:b/>
                <w:bCs/>
                <w:sz w:val="20"/>
                <w:szCs w:val="20"/>
                <w:lang w:eastAsia="es-CO"/>
              </w:rPr>
              <w:t>Diferencia</w:t>
            </w:r>
          </w:p>
        </w:tc>
      </w:tr>
      <w:tr w:rsidR="000045D9" w:rsidRPr="004803F5" w14:paraId="71B7D0EB" w14:textId="77777777" w:rsidTr="00736162">
        <w:trPr>
          <w:trHeight w:val="20"/>
          <w:jc w:val="center"/>
        </w:trPr>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14:paraId="57AFB572" w14:textId="77777777" w:rsidR="000045D9" w:rsidRPr="004803F5" w:rsidRDefault="000045D9" w:rsidP="004803F5">
            <w:pPr>
              <w:suppressAutoHyphens w:val="0"/>
              <w:spacing w:after="0" w:line="240" w:lineRule="auto"/>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Modelo con todas las variables</w:t>
            </w:r>
          </w:p>
        </w:tc>
        <w:tc>
          <w:tcPr>
            <w:tcW w:w="1160" w:type="dxa"/>
            <w:tcBorders>
              <w:top w:val="nil"/>
              <w:left w:val="nil"/>
              <w:bottom w:val="single" w:sz="4" w:space="0" w:color="auto"/>
              <w:right w:val="single" w:sz="4" w:space="0" w:color="auto"/>
            </w:tcBorders>
            <w:shd w:val="clear" w:color="000000" w:fill="FFFFFF"/>
            <w:noWrap/>
            <w:vAlign w:val="bottom"/>
            <w:hideMark/>
          </w:tcPr>
          <w:p w14:paraId="0AD0C370"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82,20%</w:t>
            </w:r>
          </w:p>
        </w:tc>
        <w:tc>
          <w:tcPr>
            <w:tcW w:w="1363" w:type="dxa"/>
            <w:tcBorders>
              <w:top w:val="nil"/>
              <w:left w:val="nil"/>
              <w:bottom w:val="single" w:sz="4" w:space="0" w:color="auto"/>
              <w:right w:val="single" w:sz="4" w:space="0" w:color="auto"/>
            </w:tcBorders>
            <w:shd w:val="clear" w:color="000000" w:fill="FFFFFF"/>
            <w:noWrap/>
            <w:vAlign w:val="bottom"/>
            <w:hideMark/>
          </w:tcPr>
          <w:p w14:paraId="05E65E2E"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p>
        </w:tc>
      </w:tr>
      <w:tr w:rsidR="000045D9" w:rsidRPr="004803F5" w14:paraId="3BEE3623" w14:textId="77777777" w:rsidTr="00736162">
        <w:trPr>
          <w:trHeight w:val="20"/>
          <w:jc w:val="center"/>
        </w:trPr>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14:paraId="33D6A8C7" w14:textId="77777777" w:rsidR="000045D9" w:rsidRPr="004803F5" w:rsidRDefault="000045D9" w:rsidP="004803F5">
            <w:pPr>
              <w:suppressAutoHyphens w:val="0"/>
              <w:spacing w:after="0" w:line="240" w:lineRule="auto"/>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Modelo sin suscriptores de acueducto</w:t>
            </w:r>
          </w:p>
        </w:tc>
        <w:tc>
          <w:tcPr>
            <w:tcW w:w="1160" w:type="dxa"/>
            <w:tcBorders>
              <w:top w:val="nil"/>
              <w:left w:val="nil"/>
              <w:bottom w:val="single" w:sz="4" w:space="0" w:color="auto"/>
              <w:right w:val="single" w:sz="4" w:space="0" w:color="auto"/>
            </w:tcBorders>
            <w:shd w:val="clear" w:color="000000" w:fill="FFFFFF"/>
            <w:noWrap/>
            <w:vAlign w:val="bottom"/>
            <w:hideMark/>
          </w:tcPr>
          <w:p w14:paraId="4D15B93A"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82,20%</w:t>
            </w:r>
          </w:p>
        </w:tc>
        <w:tc>
          <w:tcPr>
            <w:tcW w:w="1363" w:type="dxa"/>
            <w:tcBorders>
              <w:top w:val="nil"/>
              <w:left w:val="nil"/>
              <w:bottom w:val="single" w:sz="4" w:space="0" w:color="auto"/>
              <w:right w:val="single" w:sz="4" w:space="0" w:color="auto"/>
            </w:tcBorders>
            <w:shd w:val="clear" w:color="000000" w:fill="FFFFFF"/>
            <w:noWrap/>
            <w:vAlign w:val="bottom"/>
            <w:hideMark/>
          </w:tcPr>
          <w:p w14:paraId="556FC53A"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0,00%</w:t>
            </w:r>
          </w:p>
        </w:tc>
      </w:tr>
      <w:tr w:rsidR="000045D9" w:rsidRPr="004803F5" w14:paraId="347A4A12" w14:textId="77777777" w:rsidTr="00736162">
        <w:trPr>
          <w:trHeight w:val="20"/>
          <w:jc w:val="center"/>
        </w:trPr>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14:paraId="3C9F9E0E" w14:textId="77777777" w:rsidR="000045D9" w:rsidRPr="004803F5" w:rsidRDefault="000045D9" w:rsidP="004803F5">
            <w:pPr>
              <w:suppressAutoHyphens w:val="0"/>
              <w:spacing w:after="0" w:line="240" w:lineRule="auto"/>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Modelo sin suscriptores de alcantarillado</w:t>
            </w:r>
          </w:p>
        </w:tc>
        <w:tc>
          <w:tcPr>
            <w:tcW w:w="1160" w:type="dxa"/>
            <w:tcBorders>
              <w:top w:val="nil"/>
              <w:left w:val="nil"/>
              <w:bottom w:val="single" w:sz="4" w:space="0" w:color="auto"/>
              <w:right w:val="single" w:sz="4" w:space="0" w:color="auto"/>
            </w:tcBorders>
            <w:shd w:val="clear" w:color="000000" w:fill="FFFFFF"/>
            <w:noWrap/>
            <w:vAlign w:val="bottom"/>
            <w:hideMark/>
          </w:tcPr>
          <w:p w14:paraId="527F418C"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82,07%</w:t>
            </w:r>
          </w:p>
        </w:tc>
        <w:tc>
          <w:tcPr>
            <w:tcW w:w="1363" w:type="dxa"/>
            <w:tcBorders>
              <w:top w:val="nil"/>
              <w:left w:val="nil"/>
              <w:bottom w:val="single" w:sz="4" w:space="0" w:color="auto"/>
              <w:right w:val="single" w:sz="4" w:space="0" w:color="auto"/>
            </w:tcBorders>
            <w:shd w:val="clear" w:color="000000" w:fill="FFFFFF"/>
            <w:noWrap/>
            <w:vAlign w:val="bottom"/>
            <w:hideMark/>
          </w:tcPr>
          <w:p w14:paraId="7702761E"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-0,13%</w:t>
            </w:r>
          </w:p>
        </w:tc>
      </w:tr>
      <w:tr w:rsidR="000045D9" w:rsidRPr="004803F5" w14:paraId="43A6677A" w14:textId="77777777" w:rsidTr="00736162">
        <w:trPr>
          <w:trHeight w:val="20"/>
          <w:jc w:val="center"/>
        </w:trPr>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14:paraId="5278610A" w14:textId="77777777" w:rsidR="000045D9" w:rsidRPr="004803F5" w:rsidRDefault="000045D9" w:rsidP="004803F5">
            <w:pPr>
              <w:suppressAutoHyphens w:val="0"/>
              <w:spacing w:after="0" w:line="240" w:lineRule="auto"/>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Modelo sin suscriptores con Micromedición</w:t>
            </w:r>
          </w:p>
        </w:tc>
        <w:tc>
          <w:tcPr>
            <w:tcW w:w="1160" w:type="dxa"/>
            <w:tcBorders>
              <w:top w:val="nil"/>
              <w:left w:val="nil"/>
              <w:bottom w:val="single" w:sz="4" w:space="0" w:color="auto"/>
              <w:right w:val="single" w:sz="4" w:space="0" w:color="auto"/>
            </w:tcBorders>
            <w:shd w:val="clear" w:color="000000" w:fill="FFFFFF"/>
            <w:noWrap/>
            <w:vAlign w:val="bottom"/>
            <w:hideMark/>
          </w:tcPr>
          <w:p w14:paraId="6F2FA7ED"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82,17%</w:t>
            </w:r>
          </w:p>
        </w:tc>
        <w:tc>
          <w:tcPr>
            <w:tcW w:w="1363" w:type="dxa"/>
            <w:tcBorders>
              <w:top w:val="nil"/>
              <w:left w:val="nil"/>
              <w:bottom w:val="single" w:sz="4" w:space="0" w:color="auto"/>
              <w:right w:val="single" w:sz="4" w:space="0" w:color="auto"/>
            </w:tcBorders>
            <w:shd w:val="clear" w:color="000000" w:fill="FFFFFF"/>
            <w:noWrap/>
            <w:vAlign w:val="bottom"/>
            <w:hideMark/>
          </w:tcPr>
          <w:p w14:paraId="124A3380"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-0,03%</w:t>
            </w:r>
          </w:p>
        </w:tc>
      </w:tr>
      <w:tr w:rsidR="000045D9" w:rsidRPr="004803F5" w14:paraId="571BC56B" w14:textId="77777777" w:rsidTr="00736162">
        <w:trPr>
          <w:trHeight w:val="20"/>
          <w:jc w:val="center"/>
        </w:trPr>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14:paraId="61DC9314" w14:textId="77777777" w:rsidR="000045D9" w:rsidRPr="004803F5" w:rsidRDefault="000045D9" w:rsidP="004803F5">
            <w:pPr>
              <w:suppressAutoHyphens w:val="0"/>
              <w:spacing w:after="0" w:line="240" w:lineRule="auto"/>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Modelo sin suscriptores estrato 1 y 2</w:t>
            </w:r>
          </w:p>
        </w:tc>
        <w:tc>
          <w:tcPr>
            <w:tcW w:w="1160" w:type="dxa"/>
            <w:tcBorders>
              <w:top w:val="nil"/>
              <w:left w:val="nil"/>
              <w:bottom w:val="single" w:sz="4" w:space="0" w:color="auto"/>
              <w:right w:val="single" w:sz="4" w:space="0" w:color="auto"/>
            </w:tcBorders>
            <w:shd w:val="clear" w:color="000000" w:fill="FFFFFF"/>
            <w:noWrap/>
            <w:vAlign w:val="bottom"/>
            <w:hideMark/>
          </w:tcPr>
          <w:p w14:paraId="66034559"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72,13%</w:t>
            </w:r>
          </w:p>
        </w:tc>
        <w:tc>
          <w:tcPr>
            <w:tcW w:w="1363" w:type="dxa"/>
            <w:tcBorders>
              <w:top w:val="nil"/>
              <w:left w:val="nil"/>
              <w:bottom w:val="single" w:sz="4" w:space="0" w:color="auto"/>
              <w:right w:val="single" w:sz="4" w:space="0" w:color="auto"/>
            </w:tcBorders>
            <w:shd w:val="clear" w:color="000000" w:fill="FFFFFF"/>
            <w:noWrap/>
            <w:vAlign w:val="bottom"/>
            <w:hideMark/>
          </w:tcPr>
          <w:p w14:paraId="2688546E"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-10,07%</w:t>
            </w:r>
          </w:p>
        </w:tc>
      </w:tr>
      <w:tr w:rsidR="000045D9" w:rsidRPr="004803F5" w14:paraId="3FEDC5B2" w14:textId="77777777" w:rsidTr="00736162">
        <w:trPr>
          <w:trHeight w:val="20"/>
          <w:jc w:val="center"/>
        </w:trPr>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14:paraId="5F718252" w14:textId="77777777" w:rsidR="000045D9" w:rsidRPr="004803F5" w:rsidRDefault="000045D9" w:rsidP="004803F5">
            <w:pPr>
              <w:suppressAutoHyphens w:val="0"/>
              <w:spacing w:after="0" w:line="240" w:lineRule="auto"/>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Modelo sin suscriptores industriales y comerciales</w:t>
            </w:r>
          </w:p>
        </w:tc>
        <w:tc>
          <w:tcPr>
            <w:tcW w:w="1160" w:type="dxa"/>
            <w:tcBorders>
              <w:top w:val="nil"/>
              <w:left w:val="nil"/>
              <w:bottom w:val="single" w:sz="4" w:space="0" w:color="auto"/>
              <w:right w:val="single" w:sz="4" w:space="0" w:color="auto"/>
            </w:tcBorders>
            <w:shd w:val="clear" w:color="000000" w:fill="FFFFFF"/>
            <w:noWrap/>
            <w:vAlign w:val="bottom"/>
            <w:hideMark/>
          </w:tcPr>
          <w:p w14:paraId="20A16593"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80,93%</w:t>
            </w:r>
          </w:p>
        </w:tc>
        <w:tc>
          <w:tcPr>
            <w:tcW w:w="1363" w:type="dxa"/>
            <w:tcBorders>
              <w:top w:val="nil"/>
              <w:left w:val="nil"/>
              <w:bottom w:val="single" w:sz="4" w:space="0" w:color="auto"/>
              <w:right w:val="single" w:sz="4" w:space="0" w:color="auto"/>
            </w:tcBorders>
            <w:shd w:val="clear" w:color="000000" w:fill="FFFFFF"/>
            <w:noWrap/>
            <w:vAlign w:val="bottom"/>
            <w:hideMark/>
          </w:tcPr>
          <w:p w14:paraId="6AC26D73"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-1,27%</w:t>
            </w:r>
          </w:p>
        </w:tc>
      </w:tr>
      <w:tr w:rsidR="000045D9" w:rsidRPr="004803F5" w14:paraId="5EE48D57" w14:textId="77777777" w:rsidTr="00736162">
        <w:trPr>
          <w:trHeight w:val="20"/>
          <w:jc w:val="center"/>
        </w:trPr>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14:paraId="1FC60D3D" w14:textId="05639994" w:rsidR="000045D9" w:rsidRPr="004803F5" w:rsidRDefault="000045D9" w:rsidP="004803F5">
            <w:pPr>
              <w:suppressAutoHyphens w:val="0"/>
              <w:spacing w:after="0" w:line="240" w:lineRule="auto"/>
              <w:jc w:val="center"/>
              <w:rPr>
                <w:rFonts w:ascii="Arial" w:eastAsia="Times New Roman" w:hAnsi="Arial" w:cs="Arial"/>
                <w:b/>
                <w:bCs/>
                <w:sz w:val="20"/>
                <w:szCs w:val="20"/>
                <w:lang w:val="es-CO" w:eastAsia="es-CO"/>
              </w:rPr>
            </w:pPr>
            <w:r w:rsidRPr="004803F5">
              <w:rPr>
                <w:rFonts w:ascii="Arial" w:eastAsia="Times New Roman" w:hAnsi="Arial" w:cs="Arial"/>
                <w:b/>
                <w:bCs/>
                <w:sz w:val="20"/>
                <w:szCs w:val="20"/>
                <w:lang w:val="es-CO" w:eastAsia="es-CO"/>
              </w:rPr>
              <w:t>PROMEDIO</w:t>
            </w:r>
            <w:r w:rsidR="00DC72BE">
              <w:rPr>
                <w:rFonts w:ascii="Arial" w:eastAsia="Times New Roman" w:hAnsi="Arial" w:cs="Arial"/>
                <w:b/>
                <w:bCs/>
                <w:sz w:val="20"/>
                <w:szCs w:val="20"/>
                <w:lang w:val="es-CO" w:eastAsia="es-CO"/>
              </w:rPr>
              <w:t xml:space="preserve"> </w:t>
            </w:r>
            <w:r w:rsidR="00DC72BE">
              <w:rPr>
                <w:rFonts w:ascii="Arial" w:hAnsi="Arial" w:cs="Arial"/>
                <w:b/>
                <w:bCs/>
                <w:sz w:val="20"/>
                <w:szCs w:val="20"/>
              </w:rPr>
              <w:t>(en términos absoluto)</w:t>
            </w:r>
          </w:p>
        </w:tc>
        <w:tc>
          <w:tcPr>
            <w:tcW w:w="1160" w:type="dxa"/>
            <w:tcBorders>
              <w:top w:val="nil"/>
              <w:left w:val="nil"/>
              <w:bottom w:val="single" w:sz="4" w:space="0" w:color="auto"/>
              <w:right w:val="single" w:sz="4" w:space="0" w:color="auto"/>
            </w:tcBorders>
            <w:shd w:val="clear" w:color="000000" w:fill="FFFFFF"/>
            <w:noWrap/>
            <w:vAlign w:val="bottom"/>
            <w:hideMark/>
          </w:tcPr>
          <w:p w14:paraId="0BF6B342" w14:textId="77777777" w:rsidR="000045D9" w:rsidRPr="004803F5" w:rsidRDefault="000045D9" w:rsidP="004803F5">
            <w:pPr>
              <w:suppressAutoHyphens w:val="0"/>
              <w:spacing w:after="0" w:line="240" w:lineRule="auto"/>
              <w:jc w:val="center"/>
              <w:rPr>
                <w:rFonts w:ascii="Arial" w:eastAsia="Times New Roman" w:hAnsi="Arial" w:cs="Arial"/>
                <w:b/>
                <w:bCs/>
                <w:sz w:val="20"/>
                <w:szCs w:val="20"/>
                <w:lang w:val="es-CO" w:eastAsia="es-CO"/>
              </w:rPr>
            </w:pPr>
          </w:p>
        </w:tc>
        <w:tc>
          <w:tcPr>
            <w:tcW w:w="1363" w:type="dxa"/>
            <w:tcBorders>
              <w:top w:val="nil"/>
              <w:left w:val="nil"/>
              <w:bottom w:val="single" w:sz="4" w:space="0" w:color="auto"/>
              <w:right w:val="single" w:sz="4" w:space="0" w:color="auto"/>
            </w:tcBorders>
            <w:shd w:val="clear" w:color="auto" w:fill="auto"/>
            <w:noWrap/>
            <w:vAlign w:val="bottom"/>
            <w:hideMark/>
          </w:tcPr>
          <w:p w14:paraId="12479324" w14:textId="77777777" w:rsidR="000045D9" w:rsidRPr="004803F5" w:rsidRDefault="000045D9" w:rsidP="004803F5">
            <w:pPr>
              <w:suppressAutoHyphens w:val="0"/>
              <w:spacing w:after="0" w:line="240" w:lineRule="auto"/>
              <w:jc w:val="center"/>
              <w:rPr>
                <w:rFonts w:ascii="Arial" w:eastAsia="Times New Roman" w:hAnsi="Arial" w:cs="Arial"/>
                <w:b/>
                <w:bCs/>
                <w:sz w:val="20"/>
                <w:szCs w:val="20"/>
                <w:lang w:val="es-CO" w:eastAsia="es-CO"/>
              </w:rPr>
            </w:pPr>
            <w:r w:rsidRPr="004803F5">
              <w:rPr>
                <w:rFonts w:ascii="Arial" w:eastAsia="Times New Roman" w:hAnsi="Arial" w:cs="Arial"/>
                <w:b/>
                <w:bCs/>
                <w:sz w:val="20"/>
                <w:szCs w:val="20"/>
                <w:lang w:val="es-CO" w:eastAsia="es-CO"/>
              </w:rPr>
              <w:t>2,30%</w:t>
            </w:r>
          </w:p>
        </w:tc>
      </w:tr>
    </w:tbl>
    <w:p w14:paraId="010F2477" w14:textId="77777777" w:rsidR="000045D9" w:rsidRPr="004803F5" w:rsidRDefault="000045D9" w:rsidP="004803F5">
      <w:pPr>
        <w:spacing w:after="0" w:line="240" w:lineRule="auto"/>
        <w:jc w:val="both"/>
        <w:rPr>
          <w:rFonts w:ascii="Arial" w:hAnsi="Arial" w:cs="Arial"/>
          <w:sz w:val="20"/>
          <w:szCs w:val="20"/>
        </w:rPr>
      </w:pPr>
    </w:p>
    <w:p w14:paraId="3CF6A540" w14:textId="77777777" w:rsidR="000045D9" w:rsidRPr="004803F5" w:rsidRDefault="000045D9" w:rsidP="004803F5">
      <w:pPr>
        <w:spacing w:after="0" w:line="240" w:lineRule="auto"/>
        <w:jc w:val="both"/>
        <w:rPr>
          <w:rFonts w:ascii="Arial" w:hAnsi="Arial" w:cs="Arial"/>
          <w:sz w:val="20"/>
          <w:szCs w:val="20"/>
        </w:rPr>
      </w:pPr>
    </w:p>
    <w:p w14:paraId="5D2E4EAF" w14:textId="2590F196" w:rsidR="000045D9" w:rsidRPr="004803F5" w:rsidRDefault="000045D9" w:rsidP="00E626A6">
      <w:pPr>
        <w:pStyle w:val="Descripcin"/>
        <w:spacing w:after="0" w:line="240" w:lineRule="auto"/>
        <w:jc w:val="center"/>
        <w:rPr>
          <w:rFonts w:ascii="Arial" w:hAnsi="Arial" w:cs="Arial"/>
        </w:rPr>
      </w:pPr>
      <w:bookmarkStart w:id="36" w:name="_Toc492664392"/>
      <w:bookmarkStart w:id="37" w:name="_Toc506988574"/>
      <w:r w:rsidRPr="004803F5">
        <w:rPr>
          <w:rFonts w:ascii="Arial" w:hAnsi="Arial" w:cs="Arial"/>
        </w:rPr>
        <w:t xml:space="preserve">Tabla </w:t>
      </w:r>
      <w:r w:rsidRPr="004803F5">
        <w:rPr>
          <w:rFonts w:ascii="Arial" w:hAnsi="Arial" w:cs="Arial"/>
        </w:rPr>
        <w:fldChar w:fldCharType="begin"/>
      </w:r>
      <w:r w:rsidRPr="004803F5">
        <w:rPr>
          <w:rFonts w:ascii="Arial" w:hAnsi="Arial" w:cs="Arial"/>
        </w:rPr>
        <w:instrText xml:space="preserve"> SEQ Tabla \* ARABIC </w:instrText>
      </w:r>
      <w:r w:rsidRPr="004803F5">
        <w:rPr>
          <w:rFonts w:ascii="Arial" w:hAnsi="Arial" w:cs="Arial"/>
        </w:rPr>
        <w:fldChar w:fldCharType="separate"/>
      </w:r>
      <w:r w:rsidR="00E626A6">
        <w:rPr>
          <w:rFonts w:ascii="Arial" w:hAnsi="Arial" w:cs="Arial"/>
          <w:noProof/>
        </w:rPr>
        <w:t>11</w:t>
      </w:r>
      <w:r w:rsidRPr="004803F5">
        <w:rPr>
          <w:rFonts w:ascii="Arial" w:hAnsi="Arial" w:cs="Arial"/>
        </w:rPr>
        <w:fldChar w:fldCharType="end"/>
      </w:r>
      <w:r w:rsidRPr="004803F5">
        <w:rPr>
          <w:rFonts w:ascii="Arial" w:hAnsi="Arial" w:cs="Arial"/>
        </w:rPr>
        <w:t>. PNC Modelo Costos Operativos para para aquellas personas prestadoras con APS del segundo segmento, que optaron por aplicar la metodología correspondiente al primero y que hacen parte del grupo básico</w:t>
      </w:r>
      <w:bookmarkEnd w:id="36"/>
      <w:bookmarkEnd w:id="37"/>
    </w:p>
    <w:tbl>
      <w:tblPr>
        <w:tblW w:w="6658" w:type="dxa"/>
        <w:jc w:val="center"/>
        <w:tblCellMar>
          <w:left w:w="70" w:type="dxa"/>
          <w:right w:w="70" w:type="dxa"/>
        </w:tblCellMar>
        <w:tblLook w:val="04A0" w:firstRow="1" w:lastRow="0" w:firstColumn="1" w:lastColumn="0" w:noHBand="0" w:noVBand="1"/>
      </w:tblPr>
      <w:tblGrid>
        <w:gridCol w:w="3720"/>
        <w:gridCol w:w="1200"/>
        <w:gridCol w:w="1738"/>
      </w:tblGrid>
      <w:tr w:rsidR="000045D9" w:rsidRPr="004803F5" w14:paraId="16EBAEEE" w14:textId="77777777" w:rsidTr="006E215A">
        <w:trPr>
          <w:trHeight w:val="20"/>
          <w:tblHeader/>
          <w:jc w:val="center"/>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D6AFC" w14:textId="77777777" w:rsidR="000045D9" w:rsidRPr="004803F5" w:rsidRDefault="000045D9" w:rsidP="004803F5">
            <w:pPr>
              <w:suppressAutoHyphens w:val="0"/>
              <w:spacing w:after="0" w:line="240" w:lineRule="auto"/>
              <w:jc w:val="both"/>
              <w:rPr>
                <w:rFonts w:ascii="Arial" w:eastAsia="Times New Roman" w:hAnsi="Arial" w:cs="Arial"/>
                <w:b/>
                <w:bCs/>
                <w:sz w:val="20"/>
                <w:szCs w:val="20"/>
                <w:lang w:val="es-CO" w:eastAsia="es-CO"/>
              </w:rPr>
            </w:pPr>
            <w:r w:rsidRPr="004803F5">
              <w:rPr>
                <w:rFonts w:ascii="Arial" w:eastAsia="Times New Roman" w:hAnsi="Arial" w:cs="Arial"/>
                <w:b/>
                <w:bCs/>
                <w:sz w:val="20"/>
                <w:szCs w:val="20"/>
                <w:lang w:val="es-CO" w:eastAsia="es-CO"/>
              </w:rPr>
              <w:t>MODELO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04E3677" w14:textId="77777777" w:rsidR="000045D9" w:rsidRPr="004803F5" w:rsidRDefault="000045D9" w:rsidP="004803F5">
            <w:pPr>
              <w:suppressAutoHyphens w:val="0"/>
              <w:spacing w:after="0" w:line="240" w:lineRule="auto"/>
              <w:jc w:val="center"/>
              <w:rPr>
                <w:rFonts w:ascii="Arial" w:eastAsia="Times New Roman" w:hAnsi="Arial" w:cs="Arial"/>
                <w:b/>
                <w:bCs/>
                <w:sz w:val="20"/>
                <w:szCs w:val="20"/>
                <w:lang w:val="es-CO" w:eastAsia="es-CO"/>
              </w:rPr>
            </w:pPr>
            <w:r w:rsidRPr="004803F5">
              <w:rPr>
                <w:rFonts w:ascii="Arial" w:eastAsia="Times New Roman" w:hAnsi="Arial" w:cs="Arial"/>
                <w:b/>
                <w:bCs/>
                <w:sz w:val="20"/>
                <w:szCs w:val="20"/>
                <w:lang w:eastAsia="es-CO"/>
              </w:rPr>
              <w:t>Puntaje Promedio</w:t>
            </w:r>
          </w:p>
        </w:tc>
        <w:tc>
          <w:tcPr>
            <w:tcW w:w="1738" w:type="dxa"/>
            <w:tcBorders>
              <w:top w:val="single" w:sz="4" w:space="0" w:color="auto"/>
              <w:left w:val="nil"/>
              <w:bottom w:val="single" w:sz="4" w:space="0" w:color="auto"/>
              <w:right w:val="single" w:sz="4" w:space="0" w:color="auto"/>
            </w:tcBorders>
            <w:shd w:val="clear" w:color="auto" w:fill="auto"/>
            <w:noWrap/>
            <w:vAlign w:val="bottom"/>
            <w:hideMark/>
          </w:tcPr>
          <w:p w14:paraId="638C42CD" w14:textId="77777777" w:rsidR="000045D9" w:rsidRPr="004803F5" w:rsidRDefault="000045D9" w:rsidP="004803F5">
            <w:pPr>
              <w:suppressAutoHyphens w:val="0"/>
              <w:spacing w:after="0" w:line="240" w:lineRule="auto"/>
              <w:jc w:val="center"/>
              <w:rPr>
                <w:rFonts w:ascii="Arial" w:eastAsia="Times New Roman" w:hAnsi="Arial" w:cs="Arial"/>
                <w:b/>
                <w:bCs/>
                <w:sz w:val="20"/>
                <w:szCs w:val="20"/>
                <w:lang w:val="es-CO" w:eastAsia="es-CO"/>
              </w:rPr>
            </w:pPr>
            <w:r w:rsidRPr="004803F5">
              <w:rPr>
                <w:rFonts w:ascii="Arial" w:eastAsia="Times New Roman" w:hAnsi="Arial" w:cs="Arial"/>
                <w:b/>
                <w:bCs/>
                <w:sz w:val="20"/>
                <w:szCs w:val="20"/>
                <w:lang w:eastAsia="es-CO"/>
              </w:rPr>
              <w:t>Diferencia</w:t>
            </w:r>
          </w:p>
        </w:tc>
      </w:tr>
      <w:tr w:rsidR="000045D9" w:rsidRPr="004803F5" w14:paraId="445AB8A3" w14:textId="77777777" w:rsidTr="00736162">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6AA2AEFC" w14:textId="77777777" w:rsidR="000045D9" w:rsidRPr="004803F5" w:rsidRDefault="000045D9" w:rsidP="004803F5">
            <w:pPr>
              <w:suppressAutoHyphens w:val="0"/>
              <w:spacing w:after="0" w:line="240" w:lineRule="auto"/>
              <w:jc w:val="both"/>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Modelo con todas las variables</w:t>
            </w:r>
          </w:p>
        </w:tc>
        <w:tc>
          <w:tcPr>
            <w:tcW w:w="1200" w:type="dxa"/>
            <w:tcBorders>
              <w:top w:val="nil"/>
              <w:left w:val="nil"/>
              <w:bottom w:val="single" w:sz="4" w:space="0" w:color="auto"/>
              <w:right w:val="single" w:sz="4" w:space="0" w:color="auto"/>
            </w:tcBorders>
            <w:shd w:val="clear" w:color="auto" w:fill="auto"/>
            <w:noWrap/>
            <w:vAlign w:val="bottom"/>
            <w:hideMark/>
          </w:tcPr>
          <w:p w14:paraId="7E1FE12B"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91,58%</w:t>
            </w:r>
          </w:p>
        </w:tc>
        <w:tc>
          <w:tcPr>
            <w:tcW w:w="1738" w:type="dxa"/>
            <w:tcBorders>
              <w:top w:val="nil"/>
              <w:left w:val="nil"/>
              <w:bottom w:val="single" w:sz="4" w:space="0" w:color="auto"/>
              <w:right w:val="single" w:sz="4" w:space="0" w:color="auto"/>
            </w:tcBorders>
            <w:shd w:val="clear" w:color="auto" w:fill="auto"/>
            <w:noWrap/>
            <w:vAlign w:val="bottom"/>
            <w:hideMark/>
          </w:tcPr>
          <w:p w14:paraId="280E36D8"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p>
        </w:tc>
      </w:tr>
      <w:tr w:rsidR="000045D9" w:rsidRPr="004803F5" w14:paraId="1349E813" w14:textId="77777777" w:rsidTr="00736162">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676A1995" w14:textId="77777777" w:rsidR="000045D9" w:rsidRPr="004803F5" w:rsidRDefault="000045D9" w:rsidP="004803F5">
            <w:pPr>
              <w:suppressAutoHyphens w:val="0"/>
              <w:spacing w:after="0" w:line="240" w:lineRule="auto"/>
              <w:jc w:val="both"/>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lastRenderedPageBreak/>
              <w:t>Modelo sin m3 facturados</w:t>
            </w:r>
          </w:p>
        </w:tc>
        <w:tc>
          <w:tcPr>
            <w:tcW w:w="1200" w:type="dxa"/>
            <w:tcBorders>
              <w:top w:val="nil"/>
              <w:left w:val="nil"/>
              <w:bottom w:val="single" w:sz="4" w:space="0" w:color="auto"/>
              <w:right w:val="single" w:sz="4" w:space="0" w:color="auto"/>
            </w:tcBorders>
            <w:shd w:val="clear" w:color="auto" w:fill="auto"/>
            <w:noWrap/>
            <w:vAlign w:val="bottom"/>
            <w:hideMark/>
          </w:tcPr>
          <w:p w14:paraId="6C645732"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90,42%</w:t>
            </w:r>
          </w:p>
        </w:tc>
        <w:tc>
          <w:tcPr>
            <w:tcW w:w="1738" w:type="dxa"/>
            <w:tcBorders>
              <w:top w:val="nil"/>
              <w:left w:val="nil"/>
              <w:bottom w:val="single" w:sz="4" w:space="0" w:color="auto"/>
              <w:right w:val="single" w:sz="4" w:space="0" w:color="auto"/>
            </w:tcBorders>
            <w:shd w:val="clear" w:color="auto" w:fill="auto"/>
            <w:noWrap/>
            <w:vAlign w:val="bottom"/>
            <w:hideMark/>
          </w:tcPr>
          <w:p w14:paraId="607212D9"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-1,16%</w:t>
            </w:r>
          </w:p>
        </w:tc>
      </w:tr>
      <w:tr w:rsidR="000045D9" w:rsidRPr="004803F5" w14:paraId="72C1BC2A" w14:textId="77777777" w:rsidTr="00736162">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1558E132" w14:textId="77777777" w:rsidR="000045D9" w:rsidRPr="004803F5" w:rsidRDefault="000045D9" w:rsidP="004803F5">
            <w:pPr>
              <w:suppressAutoHyphens w:val="0"/>
              <w:spacing w:after="0" w:line="240" w:lineRule="auto"/>
              <w:jc w:val="both"/>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 xml:space="preserve">Modelo sin m3 vertidos </w:t>
            </w:r>
          </w:p>
        </w:tc>
        <w:tc>
          <w:tcPr>
            <w:tcW w:w="1200" w:type="dxa"/>
            <w:tcBorders>
              <w:top w:val="nil"/>
              <w:left w:val="nil"/>
              <w:bottom w:val="single" w:sz="4" w:space="0" w:color="auto"/>
              <w:right w:val="single" w:sz="4" w:space="0" w:color="auto"/>
            </w:tcBorders>
            <w:shd w:val="clear" w:color="auto" w:fill="auto"/>
            <w:noWrap/>
            <w:vAlign w:val="bottom"/>
            <w:hideMark/>
          </w:tcPr>
          <w:p w14:paraId="0DC3E8CC"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91,33%</w:t>
            </w:r>
          </w:p>
        </w:tc>
        <w:tc>
          <w:tcPr>
            <w:tcW w:w="1738" w:type="dxa"/>
            <w:tcBorders>
              <w:top w:val="nil"/>
              <w:left w:val="nil"/>
              <w:bottom w:val="single" w:sz="4" w:space="0" w:color="auto"/>
              <w:right w:val="single" w:sz="4" w:space="0" w:color="auto"/>
            </w:tcBorders>
            <w:shd w:val="clear" w:color="auto" w:fill="auto"/>
            <w:noWrap/>
            <w:vAlign w:val="bottom"/>
            <w:hideMark/>
          </w:tcPr>
          <w:p w14:paraId="2FC6A557" w14:textId="1E2C3446" w:rsidR="000045D9" w:rsidRPr="004803F5" w:rsidRDefault="00D1721F" w:rsidP="004803F5">
            <w:pPr>
              <w:suppressAutoHyphens w:val="0"/>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-0,25</w:t>
            </w:r>
            <w:r w:rsidR="000045D9" w:rsidRPr="004803F5">
              <w:rPr>
                <w:rFonts w:ascii="Arial" w:eastAsia="Times New Roman" w:hAnsi="Arial" w:cs="Arial"/>
                <w:sz w:val="20"/>
                <w:szCs w:val="20"/>
                <w:lang w:val="es-CO" w:eastAsia="es-CO"/>
              </w:rPr>
              <w:t>%</w:t>
            </w:r>
          </w:p>
        </w:tc>
      </w:tr>
      <w:tr w:rsidR="000045D9" w:rsidRPr="004803F5" w14:paraId="3D48DDFF" w14:textId="77777777" w:rsidTr="00736162">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0D5C94FE" w14:textId="77777777" w:rsidR="000045D9" w:rsidRPr="004803F5" w:rsidRDefault="000045D9" w:rsidP="004803F5">
            <w:pPr>
              <w:suppressAutoHyphens w:val="0"/>
              <w:spacing w:after="0" w:line="240" w:lineRule="auto"/>
              <w:jc w:val="both"/>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Modelo sin tamaño de redes</w:t>
            </w:r>
          </w:p>
        </w:tc>
        <w:tc>
          <w:tcPr>
            <w:tcW w:w="1200" w:type="dxa"/>
            <w:tcBorders>
              <w:top w:val="nil"/>
              <w:left w:val="nil"/>
              <w:bottom w:val="single" w:sz="4" w:space="0" w:color="auto"/>
              <w:right w:val="single" w:sz="4" w:space="0" w:color="auto"/>
            </w:tcBorders>
            <w:shd w:val="clear" w:color="auto" w:fill="auto"/>
            <w:noWrap/>
            <w:vAlign w:val="bottom"/>
            <w:hideMark/>
          </w:tcPr>
          <w:p w14:paraId="33CC7FF5"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91,42%</w:t>
            </w:r>
          </w:p>
        </w:tc>
        <w:tc>
          <w:tcPr>
            <w:tcW w:w="1738" w:type="dxa"/>
            <w:tcBorders>
              <w:top w:val="nil"/>
              <w:left w:val="nil"/>
              <w:bottom w:val="single" w:sz="4" w:space="0" w:color="auto"/>
              <w:right w:val="single" w:sz="4" w:space="0" w:color="auto"/>
            </w:tcBorders>
            <w:shd w:val="clear" w:color="auto" w:fill="auto"/>
            <w:noWrap/>
            <w:vAlign w:val="bottom"/>
            <w:hideMark/>
          </w:tcPr>
          <w:p w14:paraId="4755AFDF"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-0,16%</w:t>
            </w:r>
          </w:p>
        </w:tc>
      </w:tr>
      <w:tr w:rsidR="000045D9" w:rsidRPr="004803F5" w14:paraId="6F6A39EE" w14:textId="77777777" w:rsidTr="00736162">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2F794D44" w14:textId="77777777" w:rsidR="000045D9" w:rsidRPr="004803F5" w:rsidRDefault="000045D9" w:rsidP="004803F5">
            <w:pPr>
              <w:suppressAutoHyphens w:val="0"/>
              <w:spacing w:after="0" w:line="240" w:lineRule="auto"/>
              <w:jc w:val="both"/>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Modelo sin calidad del agua cruda</w:t>
            </w:r>
          </w:p>
        </w:tc>
        <w:tc>
          <w:tcPr>
            <w:tcW w:w="1200" w:type="dxa"/>
            <w:tcBorders>
              <w:top w:val="nil"/>
              <w:left w:val="nil"/>
              <w:bottom w:val="single" w:sz="4" w:space="0" w:color="auto"/>
              <w:right w:val="single" w:sz="4" w:space="0" w:color="auto"/>
            </w:tcBorders>
            <w:shd w:val="clear" w:color="auto" w:fill="auto"/>
            <w:noWrap/>
            <w:vAlign w:val="bottom"/>
            <w:hideMark/>
          </w:tcPr>
          <w:p w14:paraId="5B95E412"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79,50%</w:t>
            </w:r>
          </w:p>
        </w:tc>
        <w:tc>
          <w:tcPr>
            <w:tcW w:w="1738" w:type="dxa"/>
            <w:tcBorders>
              <w:top w:val="nil"/>
              <w:left w:val="nil"/>
              <w:bottom w:val="single" w:sz="4" w:space="0" w:color="auto"/>
              <w:right w:val="single" w:sz="4" w:space="0" w:color="auto"/>
            </w:tcBorders>
            <w:shd w:val="clear" w:color="auto" w:fill="auto"/>
            <w:noWrap/>
            <w:vAlign w:val="bottom"/>
            <w:hideMark/>
          </w:tcPr>
          <w:p w14:paraId="205B737D" w14:textId="77777777" w:rsidR="000045D9" w:rsidRPr="004803F5" w:rsidRDefault="000045D9" w:rsidP="004803F5">
            <w:pPr>
              <w:suppressAutoHyphens w:val="0"/>
              <w:spacing w:after="0" w:line="240" w:lineRule="auto"/>
              <w:jc w:val="center"/>
              <w:rPr>
                <w:rFonts w:ascii="Arial" w:eastAsia="Times New Roman" w:hAnsi="Arial" w:cs="Arial"/>
                <w:sz w:val="20"/>
                <w:szCs w:val="20"/>
                <w:lang w:val="es-CO" w:eastAsia="es-CO"/>
              </w:rPr>
            </w:pPr>
            <w:r w:rsidRPr="004803F5">
              <w:rPr>
                <w:rFonts w:ascii="Arial" w:eastAsia="Times New Roman" w:hAnsi="Arial" w:cs="Arial"/>
                <w:sz w:val="20"/>
                <w:szCs w:val="20"/>
                <w:lang w:val="es-CO" w:eastAsia="es-CO"/>
              </w:rPr>
              <w:t>-12,08%</w:t>
            </w:r>
          </w:p>
        </w:tc>
      </w:tr>
      <w:tr w:rsidR="000045D9" w:rsidRPr="004803F5" w14:paraId="2D860FF3" w14:textId="77777777" w:rsidTr="00736162">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593D5027" w14:textId="771473C1" w:rsidR="000045D9" w:rsidRPr="004803F5" w:rsidRDefault="000045D9" w:rsidP="004803F5">
            <w:pPr>
              <w:suppressAutoHyphens w:val="0"/>
              <w:spacing w:after="0" w:line="240" w:lineRule="auto"/>
              <w:jc w:val="both"/>
              <w:rPr>
                <w:rFonts w:ascii="Arial" w:eastAsia="Times New Roman" w:hAnsi="Arial" w:cs="Arial"/>
                <w:b/>
                <w:bCs/>
                <w:sz w:val="20"/>
                <w:szCs w:val="20"/>
                <w:lang w:val="es-CO" w:eastAsia="es-CO"/>
              </w:rPr>
            </w:pPr>
            <w:r w:rsidRPr="004803F5">
              <w:rPr>
                <w:rFonts w:ascii="Arial" w:eastAsia="Times New Roman" w:hAnsi="Arial" w:cs="Arial"/>
                <w:b/>
                <w:bCs/>
                <w:sz w:val="20"/>
                <w:szCs w:val="20"/>
                <w:lang w:val="es-CO" w:eastAsia="es-CO"/>
              </w:rPr>
              <w:t>PROMEDIO</w:t>
            </w:r>
            <w:r w:rsidR="00DC72BE">
              <w:rPr>
                <w:rFonts w:ascii="Arial" w:eastAsia="Times New Roman" w:hAnsi="Arial" w:cs="Arial"/>
                <w:b/>
                <w:bCs/>
                <w:sz w:val="20"/>
                <w:szCs w:val="20"/>
                <w:lang w:val="es-CO" w:eastAsia="es-CO"/>
              </w:rPr>
              <w:t xml:space="preserve"> </w:t>
            </w:r>
            <w:r w:rsidR="00DC72BE">
              <w:rPr>
                <w:rFonts w:ascii="Arial" w:hAnsi="Arial" w:cs="Arial"/>
                <w:b/>
                <w:bCs/>
                <w:sz w:val="20"/>
                <w:szCs w:val="20"/>
              </w:rPr>
              <w:t>(en términos absoluto)</w:t>
            </w:r>
          </w:p>
        </w:tc>
        <w:tc>
          <w:tcPr>
            <w:tcW w:w="1200" w:type="dxa"/>
            <w:tcBorders>
              <w:top w:val="nil"/>
              <w:left w:val="nil"/>
              <w:bottom w:val="single" w:sz="4" w:space="0" w:color="auto"/>
              <w:right w:val="single" w:sz="4" w:space="0" w:color="auto"/>
            </w:tcBorders>
            <w:shd w:val="clear" w:color="auto" w:fill="auto"/>
            <w:noWrap/>
            <w:vAlign w:val="bottom"/>
            <w:hideMark/>
          </w:tcPr>
          <w:p w14:paraId="2038C934" w14:textId="77777777" w:rsidR="000045D9" w:rsidRPr="004803F5" w:rsidRDefault="000045D9" w:rsidP="004803F5">
            <w:pPr>
              <w:suppressAutoHyphens w:val="0"/>
              <w:spacing w:after="0" w:line="240" w:lineRule="auto"/>
              <w:jc w:val="center"/>
              <w:rPr>
                <w:rFonts w:ascii="Arial" w:eastAsia="Times New Roman" w:hAnsi="Arial" w:cs="Arial"/>
                <w:b/>
                <w:bCs/>
                <w:sz w:val="20"/>
                <w:szCs w:val="20"/>
                <w:lang w:val="es-CO" w:eastAsia="es-CO"/>
              </w:rPr>
            </w:pPr>
          </w:p>
        </w:tc>
        <w:tc>
          <w:tcPr>
            <w:tcW w:w="1738" w:type="dxa"/>
            <w:tcBorders>
              <w:top w:val="nil"/>
              <w:left w:val="nil"/>
              <w:bottom w:val="single" w:sz="4" w:space="0" w:color="auto"/>
              <w:right w:val="single" w:sz="4" w:space="0" w:color="auto"/>
            </w:tcBorders>
            <w:shd w:val="clear" w:color="auto" w:fill="auto"/>
            <w:noWrap/>
            <w:vAlign w:val="bottom"/>
            <w:hideMark/>
          </w:tcPr>
          <w:p w14:paraId="3D8B8BFC" w14:textId="77777777" w:rsidR="000045D9" w:rsidRPr="004803F5" w:rsidRDefault="000045D9" w:rsidP="004803F5">
            <w:pPr>
              <w:suppressAutoHyphens w:val="0"/>
              <w:spacing w:after="0" w:line="240" w:lineRule="auto"/>
              <w:jc w:val="center"/>
              <w:rPr>
                <w:rFonts w:ascii="Arial" w:eastAsia="Times New Roman" w:hAnsi="Arial" w:cs="Arial"/>
                <w:b/>
                <w:bCs/>
                <w:sz w:val="20"/>
                <w:szCs w:val="20"/>
                <w:lang w:val="es-CO" w:eastAsia="es-CO"/>
              </w:rPr>
            </w:pPr>
            <w:r w:rsidRPr="004803F5">
              <w:rPr>
                <w:rFonts w:ascii="Arial" w:eastAsia="Times New Roman" w:hAnsi="Arial" w:cs="Arial"/>
                <w:b/>
                <w:bCs/>
                <w:sz w:val="20"/>
                <w:szCs w:val="20"/>
                <w:lang w:val="es-CO" w:eastAsia="es-CO"/>
              </w:rPr>
              <w:t>3,41%</w:t>
            </w:r>
          </w:p>
        </w:tc>
      </w:tr>
    </w:tbl>
    <w:p w14:paraId="0B1EA91C" w14:textId="77777777" w:rsidR="000045D9" w:rsidRPr="004803F5" w:rsidRDefault="000045D9" w:rsidP="004803F5">
      <w:pPr>
        <w:pStyle w:val="Textoindependiente21"/>
        <w:widowControl/>
        <w:tabs>
          <w:tab w:val="clear" w:pos="-720"/>
        </w:tabs>
        <w:rPr>
          <w:rFonts w:cs="Arial"/>
          <w:sz w:val="20"/>
          <w:lang w:val="es-MX"/>
        </w:rPr>
      </w:pPr>
    </w:p>
    <w:p w14:paraId="552A351C" w14:textId="77777777" w:rsidR="00BE08AD" w:rsidRPr="00F7314C" w:rsidRDefault="00BE08AD" w:rsidP="00BE08AD">
      <w:pPr>
        <w:pStyle w:val="Textoindependiente21"/>
        <w:widowControl/>
        <w:tabs>
          <w:tab w:val="clear" w:pos="-720"/>
        </w:tabs>
        <w:rPr>
          <w:rFonts w:cs="Arial"/>
          <w:sz w:val="20"/>
          <w:lang w:val="es-MX"/>
        </w:rPr>
      </w:pPr>
      <w:r w:rsidRPr="00F7314C">
        <w:rPr>
          <w:rFonts w:cs="Arial"/>
          <w:sz w:val="20"/>
          <w:lang w:val="es-MX"/>
        </w:rPr>
        <w:t xml:space="preserve">En el caso de las personas que no hicieron parte del grupo básico, </w:t>
      </w:r>
      <w:r>
        <w:rPr>
          <w:rFonts w:cs="Arial"/>
          <w:sz w:val="20"/>
          <w:lang w:val="es-MX"/>
        </w:rPr>
        <w:t xml:space="preserve">y presenten una solicitud </w:t>
      </w:r>
      <w:r w:rsidRPr="00BA53CE">
        <w:rPr>
          <w:rFonts w:cs="Arial"/>
          <w:sz w:val="20"/>
          <w:lang w:val="es-MX"/>
        </w:rPr>
        <w:t xml:space="preserve">para </w:t>
      </w:r>
      <w:r w:rsidRPr="00BA53CE">
        <w:rPr>
          <w:rFonts w:cs="Arial"/>
          <w:sz w:val="20"/>
          <w:lang w:val="es-ES"/>
        </w:rPr>
        <w:t>el cálculo del P</w:t>
      </w:r>
      <w:r w:rsidRPr="00BA53CE">
        <w:rPr>
          <w:rFonts w:cs="Arial"/>
          <w:sz w:val="20"/>
          <w:vertAlign w:val="subscript"/>
          <w:lang w:val="es-ES"/>
        </w:rPr>
        <w:t>DEA</w:t>
      </w:r>
      <w:r w:rsidRPr="00BA53CE">
        <w:rPr>
          <w:rFonts w:cs="Arial"/>
          <w:sz w:val="20"/>
          <w:lang w:val="es-ES"/>
        </w:rPr>
        <w:t>, de conformidad con lo dispuesto en el parágrafo 8 de los artículos 26 y 33 de la Resolución CRA 688 de 2014</w:t>
      </w:r>
      <w:r>
        <w:rPr>
          <w:rFonts w:cs="Arial"/>
          <w:sz w:val="20"/>
          <w:lang w:val="es-ES"/>
        </w:rPr>
        <w:t xml:space="preserve">, </w:t>
      </w:r>
      <w:r w:rsidRPr="00BA53CE">
        <w:rPr>
          <w:rFonts w:cs="Arial"/>
          <w:sz w:val="20"/>
          <w:lang w:val="es-MX"/>
        </w:rPr>
        <w:t xml:space="preserve">el porcentaje de particularidades no captadas en los modelos para costos administrativos y operativos </w:t>
      </w:r>
      <w:r w:rsidRPr="00BA53CE">
        <w:rPr>
          <w:rFonts w:cs="Arial"/>
          <w:sz w:val="20"/>
          <w:lang w:val="es-CO" w:eastAsia="zh-CN"/>
        </w:rPr>
        <w:t xml:space="preserve">serán fijados en </w:t>
      </w:r>
      <w:r>
        <w:rPr>
          <w:rFonts w:cs="Arial"/>
          <w:sz w:val="20"/>
          <w:lang w:val="es-CO" w:eastAsia="zh-CN"/>
        </w:rPr>
        <w:t>e</w:t>
      </w:r>
      <w:r w:rsidRPr="00BA53CE">
        <w:rPr>
          <w:rFonts w:cs="Arial"/>
          <w:sz w:val="20"/>
          <w:lang w:val="es-CO" w:eastAsia="zh-CN"/>
        </w:rPr>
        <w:t xml:space="preserve">l </w:t>
      </w:r>
      <w:r>
        <w:rPr>
          <w:rFonts w:cs="Arial"/>
          <w:sz w:val="20"/>
          <w:lang w:val="es-CO" w:eastAsia="zh-CN"/>
        </w:rPr>
        <w:t>acto administrativo que resuelva la solicitud.</w:t>
      </w:r>
    </w:p>
    <w:p w14:paraId="66161FDF" w14:textId="77777777" w:rsidR="000045D9" w:rsidRPr="004803F5" w:rsidRDefault="000045D9" w:rsidP="004803F5">
      <w:pPr>
        <w:pStyle w:val="Textoindependiente21"/>
        <w:widowControl/>
        <w:tabs>
          <w:tab w:val="clear" w:pos="-720"/>
        </w:tabs>
        <w:rPr>
          <w:rFonts w:cs="Arial"/>
          <w:sz w:val="20"/>
          <w:lang w:val="es-MX"/>
        </w:rPr>
      </w:pPr>
    </w:p>
    <w:p w14:paraId="79D1A944" w14:textId="77777777" w:rsidR="000045D9" w:rsidRPr="00E172A8" w:rsidRDefault="000045D9" w:rsidP="000045D9">
      <w:pPr>
        <w:pStyle w:val="Textoindependiente21"/>
        <w:widowControl/>
        <w:tabs>
          <w:tab w:val="clear" w:pos="-720"/>
        </w:tabs>
        <w:rPr>
          <w:rFonts w:cs="Arial"/>
          <w:sz w:val="20"/>
          <w:lang w:val="es-MX"/>
        </w:rPr>
      </w:pPr>
      <w:r w:rsidRPr="00E172A8">
        <w:rPr>
          <w:rFonts w:cs="Arial"/>
          <w:sz w:val="20"/>
          <w:lang w:val="es-MX"/>
        </w:rPr>
        <w:t>Así las cosas, teniendo en cuenta que los prestadores que obtuvieron 100% en el modelo de eficiencia comparativa tienen reflejadas todas sus particularidades en el puntaje, los anteriores porcentajes se les reconocen a aquellos prestadores que obtienen un puntaje menor a 100% y que no ven todas sus características reconocidas en el modelo.</w:t>
      </w:r>
    </w:p>
    <w:p w14:paraId="7B578E2F" w14:textId="77777777" w:rsidR="000045D9" w:rsidRDefault="000045D9" w:rsidP="000045D9">
      <w:pPr>
        <w:spacing w:after="0" w:line="240" w:lineRule="auto"/>
        <w:jc w:val="both"/>
        <w:rPr>
          <w:rFonts w:ascii="Arial" w:eastAsia="Times New Roman" w:hAnsi="Arial" w:cs="Arial"/>
          <w:sz w:val="20"/>
          <w:szCs w:val="20"/>
          <w:lang w:val="es-CO" w:bidi="en-US"/>
        </w:rPr>
      </w:pPr>
    </w:p>
    <w:p w14:paraId="68F6A446" w14:textId="77777777" w:rsidR="00B37730" w:rsidRPr="00F40141" w:rsidRDefault="00FE7CD7" w:rsidP="00F40141">
      <w:pPr>
        <w:spacing w:after="0" w:line="240" w:lineRule="auto"/>
        <w:jc w:val="both"/>
        <w:rPr>
          <w:rFonts w:ascii="Arial" w:hAnsi="Arial" w:cs="Arial"/>
          <w:sz w:val="20"/>
          <w:szCs w:val="20"/>
          <w:lang w:val="es-MX"/>
        </w:rPr>
      </w:pPr>
      <w:r w:rsidRPr="00F40141">
        <w:rPr>
          <w:rFonts w:ascii="Arial" w:hAnsi="Arial" w:cs="Arial"/>
          <w:sz w:val="20"/>
          <w:szCs w:val="20"/>
          <w:lang w:val="es-MX"/>
        </w:rPr>
        <w:t>Ahora bien</w:t>
      </w:r>
      <w:r w:rsidR="00F40141" w:rsidRPr="00F40141">
        <w:rPr>
          <w:rFonts w:ascii="Arial" w:hAnsi="Arial" w:cs="Arial"/>
          <w:sz w:val="20"/>
          <w:szCs w:val="20"/>
          <w:lang w:val="es-MX"/>
        </w:rPr>
        <w:t>, se aclara que</w:t>
      </w:r>
      <w:r w:rsidRPr="00F40141">
        <w:rPr>
          <w:rFonts w:ascii="Arial" w:hAnsi="Arial" w:cs="Arial"/>
          <w:sz w:val="20"/>
          <w:szCs w:val="20"/>
          <w:lang w:val="es-MX"/>
        </w:rPr>
        <w:t xml:space="preserve"> para la estimación de</w:t>
      </w:r>
      <w:r w:rsidR="00046B3A" w:rsidRPr="00F40141">
        <w:rPr>
          <w:rFonts w:ascii="Arial" w:hAnsi="Arial" w:cs="Arial"/>
          <w:sz w:val="20"/>
          <w:szCs w:val="20"/>
          <w:lang w:val="es-MX"/>
        </w:rPr>
        <w:t xml:space="preserve"> </w:t>
      </w:r>
      <w:r w:rsidRPr="00F40141">
        <w:rPr>
          <w:rFonts w:ascii="Arial" w:hAnsi="Arial" w:cs="Arial"/>
          <w:sz w:val="20"/>
          <w:szCs w:val="20"/>
          <w:lang w:val="es-MX"/>
        </w:rPr>
        <w:t>l</w:t>
      </w:r>
      <w:r w:rsidR="00046B3A" w:rsidRPr="00F40141">
        <w:rPr>
          <w:rFonts w:ascii="Arial" w:hAnsi="Arial" w:cs="Arial"/>
          <w:sz w:val="20"/>
          <w:szCs w:val="20"/>
          <w:lang w:val="es-MX"/>
        </w:rPr>
        <w:t>os</w:t>
      </w:r>
      <w:r w:rsidR="00B115C3" w:rsidRPr="00F40141">
        <w:rPr>
          <w:rFonts w:ascii="Arial" w:hAnsi="Arial" w:cs="Arial"/>
          <w:sz w:val="20"/>
          <w:szCs w:val="20"/>
          <w:lang w:val="es-MX"/>
        </w:rPr>
        <w:t xml:space="preserve"> </w:t>
      </w:r>
      <m:oMath>
        <m:sSubSup>
          <m:sSubSupPr>
            <m:ctrlPr>
              <w:rPr>
                <w:rFonts w:ascii="Cambria Math" w:hAnsi="Cambria Math" w:cs="Arial"/>
                <w:sz w:val="20"/>
                <w:szCs w:val="20"/>
                <w:lang w:val="es-MX"/>
              </w:rPr>
            </m:ctrlPr>
          </m:sSubSupPr>
          <m:e>
            <m:r>
              <w:rPr>
                <w:rFonts w:ascii="Cambria Math" w:hAnsi="Cambria Math" w:cs="Arial"/>
                <w:sz w:val="20"/>
                <w:szCs w:val="20"/>
                <w:lang w:val="es-MX"/>
              </w:rPr>
              <m:t>CAU</m:t>
            </m:r>
          </m:e>
          <m:sub>
            <m:r>
              <w:rPr>
                <w:rFonts w:ascii="Cambria Math" w:hAnsi="Cambria Math" w:cs="Arial"/>
                <w:sz w:val="20"/>
                <w:szCs w:val="20"/>
                <w:lang w:val="es-MX"/>
              </w:rPr>
              <m:t>ac/al</m:t>
            </m:r>
          </m:sub>
          <m:sup>
            <m:r>
              <m:rPr>
                <m:sty m:val="p"/>
              </m:rPr>
              <w:rPr>
                <w:rFonts w:ascii="Cambria Math" w:hAnsi="Cambria Math" w:cs="Arial"/>
                <w:sz w:val="20"/>
                <w:szCs w:val="20"/>
                <w:lang w:val="es-MX"/>
              </w:rPr>
              <m:t>*</m:t>
            </m:r>
          </m:sup>
        </m:sSubSup>
      </m:oMath>
      <w:r w:rsidR="00B115C3" w:rsidRPr="00F40141">
        <w:rPr>
          <w:rFonts w:ascii="Arial" w:hAnsi="Arial" w:cs="Arial"/>
          <w:sz w:val="20"/>
          <w:szCs w:val="20"/>
          <w:lang w:val="es-MX"/>
        </w:rPr>
        <w:t xml:space="preserve"> y</w:t>
      </w:r>
      <w:r w:rsidR="00046B3A" w:rsidRPr="00F40141">
        <w:rPr>
          <w:rFonts w:ascii="Arial" w:hAnsi="Arial" w:cs="Arial"/>
          <w:sz w:val="20"/>
          <w:szCs w:val="20"/>
          <w:lang w:val="es-MX"/>
        </w:rPr>
        <w:t xml:space="preserve"> </w:t>
      </w:r>
      <m:oMath>
        <m:sSubSup>
          <m:sSubSupPr>
            <m:ctrlPr>
              <w:rPr>
                <w:rFonts w:ascii="Cambria Math" w:hAnsi="Cambria Math" w:cs="Arial"/>
                <w:sz w:val="20"/>
                <w:szCs w:val="20"/>
                <w:lang w:val="es-MX"/>
              </w:rPr>
            </m:ctrlPr>
          </m:sSubSupPr>
          <m:e>
            <m:r>
              <w:rPr>
                <w:rFonts w:ascii="Cambria Math" w:hAnsi="Cambria Math" w:cs="Arial"/>
                <w:sz w:val="20"/>
                <w:szCs w:val="20"/>
                <w:lang w:val="es-MX"/>
              </w:rPr>
              <m:t>COU</m:t>
            </m:r>
          </m:e>
          <m:sub>
            <m:r>
              <w:rPr>
                <w:rFonts w:ascii="Cambria Math" w:hAnsi="Cambria Math" w:cs="Arial"/>
                <w:sz w:val="20"/>
                <w:szCs w:val="20"/>
                <w:lang w:val="es-MX"/>
              </w:rPr>
              <m:t>ac/al</m:t>
            </m:r>
          </m:sub>
          <m:sup>
            <m:r>
              <m:rPr>
                <m:sty m:val="p"/>
              </m:rPr>
              <w:rPr>
                <w:rFonts w:ascii="Cambria Math" w:hAnsi="Cambria Math" w:cs="Arial"/>
                <w:sz w:val="20"/>
                <w:szCs w:val="20"/>
                <w:lang w:val="es-MX"/>
              </w:rPr>
              <m:t>*</m:t>
            </m:r>
          </m:sup>
        </m:sSubSup>
      </m:oMath>
      <w:r w:rsidR="00F40141" w:rsidRPr="00F40141">
        <w:rPr>
          <w:rFonts w:ascii="Arial" w:hAnsi="Arial" w:cs="Arial"/>
          <w:sz w:val="20"/>
          <w:szCs w:val="20"/>
          <w:lang w:val="es-MX"/>
        </w:rPr>
        <w:t xml:space="preserve"> en la resolución definitiva s</w:t>
      </w:r>
      <w:r w:rsidRPr="00F40141">
        <w:rPr>
          <w:rFonts w:ascii="Arial" w:hAnsi="Arial" w:cs="Arial"/>
          <w:sz w:val="20"/>
          <w:szCs w:val="20"/>
          <w:lang w:val="es-MX"/>
        </w:rPr>
        <w:t>e tuvo en cuenta el puntaje de eficiencia comparativa obtenido por cada empresa y el porcentaje de Particularidades No Captadas</w:t>
      </w:r>
      <w:r w:rsidR="00F40141" w:rsidRPr="00F40141">
        <w:rPr>
          <w:rFonts w:ascii="Arial" w:hAnsi="Arial" w:cs="Arial"/>
          <w:sz w:val="20"/>
          <w:szCs w:val="20"/>
          <w:lang w:val="es-MX"/>
        </w:rPr>
        <w:t>, es decir se aplicó las fórmulas dispuestas en los artículos 26</w:t>
      </w:r>
      <w:r w:rsidR="00F40141" w:rsidRPr="00F40141">
        <w:rPr>
          <w:rStyle w:val="Refdenotaalpie"/>
          <w:rFonts w:ascii="Arial" w:hAnsi="Arial" w:cs="Arial"/>
          <w:sz w:val="20"/>
          <w:szCs w:val="20"/>
          <w:lang w:val="es-MX"/>
        </w:rPr>
        <w:footnoteReference w:id="26"/>
      </w:r>
      <w:r w:rsidR="00F40141" w:rsidRPr="00F40141">
        <w:rPr>
          <w:rFonts w:ascii="Arial" w:hAnsi="Arial" w:cs="Arial"/>
          <w:sz w:val="20"/>
          <w:szCs w:val="20"/>
          <w:lang w:val="es-MX"/>
        </w:rPr>
        <w:t xml:space="preserve"> y</w:t>
      </w:r>
      <w:r w:rsidR="00F40141">
        <w:rPr>
          <w:rFonts w:ascii="Arial" w:hAnsi="Arial" w:cs="Arial"/>
          <w:sz w:val="20"/>
          <w:szCs w:val="20"/>
          <w:lang w:val="es-MX"/>
        </w:rPr>
        <w:t xml:space="preserve"> 33</w:t>
      </w:r>
      <w:r w:rsidR="00F40141">
        <w:rPr>
          <w:rStyle w:val="Refdenotaalpie"/>
          <w:rFonts w:ascii="Arial" w:hAnsi="Arial" w:cs="Arial"/>
          <w:sz w:val="20"/>
          <w:szCs w:val="20"/>
          <w:lang w:val="es-MX"/>
        </w:rPr>
        <w:footnoteReference w:id="27"/>
      </w:r>
      <w:r w:rsidR="00F40141" w:rsidRPr="00F40141">
        <w:rPr>
          <w:rFonts w:ascii="Arial" w:hAnsi="Arial" w:cs="Arial"/>
          <w:sz w:val="20"/>
          <w:szCs w:val="20"/>
          <w:lang w:val="es-MX"/>
        </w:rPr>
        <w:t xml:space="preserve"> de la Resolución CRA 688 de 2014.</w:t>
      </w:r>
    </w:p>
    <w:p w14:paraId="5908ED5E" w14:textId="77777777" w:rsidR="00F40141" w:rsidRDefault="00F40141" w:rsidP="00F40141">
      <w:pPr>
        <w:spacing w:after="0" w:line="240" w:lineRule="auto"/>
        <w:rPr>
          <w:rFonts w:ascii="Arial" w:hAnsi="Arial" w:cs="Arial"/>
          <w:sz w:val="20"/>
          <w:szCs w:val="20"/>
          <w:lang w:val="es-MX"/>
        </w:rPr>
      </w:pPr>
    </w:p>
    <w:p w14:paraId="4687041E" w14:textId="77777777" w:rsidR="00F40141" w:rsidRPr="00F40141" w:rsidRDefault="00F40141" w:rsidP="00F40141">
      <w:pPr>
        <w:spacing w:after="0" w:line="240" w:lineRule="auto"/>
        <w:rPr>
          <w:rFonts w:ascii="Arial" w:hAnsi="Arial" w:cs="Arial"/>
          <w:sz w:val="20"/>
          <w:szCs w:val="20"/>
          <w:lang w:val="es-CO" w:eastAsia="es-CO"/>
        </w:rPr>
      </w:pPr>
    </w:p>
    <w:p w14:paraId="44B5CBFD" w14:textId="77777777" w:rsidR="00B37730" w:rsidRPr="00097873" w:rsidRDefault="00B37730" w:rsidP="00B37730">
      <w:pPr>
        <w:pStyle w:val="Ttulo2"/>
        <w:rPr>
          <w:lang w:val="es-CO" w:eastAsia="es-CO"/>
        </w:rPr>
      </w:pPr>
      <w:bookmarkStart w:id="38" w:name="_Toc506988586"/>
      <w:r>
        <w:t>RESPUESTA NO.</w:t>
      </w:r>
      <w:r w:rsidRPr="00097873">
        <w:fldChar w:fldCharType="begin"/>
      </w:r>
      <w:r w:rsidRPr="00097873">
        <w:instrText xml:space="preserve"> SEQ RESPUESTA_N. \* ARABIC </w:instrText>
      </w:r>
      <w:r w:rsidRPr="00097873">
        <w:fldChar w:fldCharType="separate"/>
      </w:r>
      <w:r>
        <w:rPr>
          <w:noProof/>
        </w:rPr>
        <w:t>8</w:t>
      </w:r>
      <w:r w:rsidRPr="00097873">
        <w:fldChar w:fldCharType="end"/>
      </w:r>
      <w:r w:rsidRPr="00097873">
        <w:t xml:space="preserve">. </w:t>
      </w:r>
      <w:r w:rsidRPr="00B37730">
        <w:rPr>
          <w:lang w:val="es-CO" w:eastAsia="es-CO"/>
        </w:rPr>
        <w:t>AJUSTE A LA FÓRMULA TARIFARIA</w:t>
      </w:r>
      <w:bookmarkEnd w:id="38"/>
      <w:r w:rsidR="00473C51">
        <w:rPr>
          <w:lang w:val="es-CO" w:eastAsia="es-CO"/>
        </w:rPr>
        <w:t xml:space="preserve"> </w:t>
      </w:r>
    </w:p>
    <w:p w14:paraId="0D5F81A1" w14:textId="77777777" w:rsidR="003E61D0" w:rsidRDefault="003E61D0" w:rsidP="00744C19">
      <w:pPr>
        <w:spacing w:after="0" w:line="240" w:lineRule="auto"/>
        <w:jc w:val="both"/>
        <w:rPr>
          <w:rFonts w:ascii="Arial" w:hAnsi="Arial" w:cs="Arial"/>
          <w:sz w:val="20"/>
          <w:szCs w:val="20"/>
          <w:lang w:val="es-MX"/>
        </w:rPr>
      </w:pPr>
    </w:p>
    <w:p w14:paraId="4CD643AB" w14:textId="3A0A63CE" w:rsidR="00042C58" w:rsidRDefault="0015472D" w:rsidP="00744C19">
      <w:pPr>
        <w:spacing w:after="0" w:line="240" w:lineRule="auto"/>
        <w:jc w:val="both"/>
        <w:rPr>
          <w:rFonts w:ascii="Arial" w:hAnsi="Arial" w:cs="Arial"/>
          <w:sz w:val="20"/>
          <w:szCs w:val="20"/>
          <w:lang w:val="es-MX"/>
        </w:rPr>
      </w:pPr>
      <w:r w:rsidRPr="0015472D">
        <w:rPr>
          <w:rFonts w:ascii="Arial" w:hAnsi="Arial" w:cs="Arial"/>
          <w:sz w:val="20"/>
          <w:szCs w:val="20"/>
          <w:lang w:val="es-MX"/>
        </w:rPr>
        <w:t xml:space="preserve">El ajuste en los valores del CAU* y COU* por aplicación del Puntaje DEA en ningún momento corresponde a una modificación de la fórmula tarifaria establecida mediante la Resolución CRA 688 de 2014. </w:t>
      </w:r>
      <w:r w:rsidR="00042C58">
        <w:rPr>
          <w:rFonts w:ascii="Arial" w:hAnsi="Arial" w:cs="Arial"/>
          <w:sz w:val="20"/>
          <w:szCs w:val="20"/>
          <w:lang w:val="es-MX"/>
        </w:rPr>
        <w:t>En este sentido, la mencionada Resolución estableció en el parágrafo 7 de los artículos 26 y 33 lo siguiente:</w:t>
      </w:r>
    </w:p>
    <w:p w14:paraId="1EFF8567" w14:textId="2F5263B6" w:rsidR="00042C58" w:rsidRDefault="00042C58" w:rsidP="00744C19">
      <w:pPr>
        <w:spacing w:after="0" w:line="240" w:lineRule="auto"/>
        <w:jc w:val="both"/>
        <w:rPr>
          <w:rFonts w:ascii="Arial" w:hAnsi="Arial" w:cs="Arial"/>
          <w:sz w:val="20"/>
          <w:szCs w:val="20"/>
          <w:lang w:val="es-MX"/>
        </w:rPr>
      </w:pPr>
    </w:p>
    <w:p w14:paraId="06C805F4" w14:textId="5B110686" w:rsidR="00042C58" w:rsidRPr="00042C58" w:rsidRDefault="00042C58" w:rsidP="00042C58">
      <w:pPr>
        <w:spacing w:after="0" w:line="240" w:lineRule="auto"/>
        <w:ind w:left="709" w:right="333"/>
        <w:jc w:val="both"/>
        <w:rPr>
          <w:rFonts w:ascii="Arial" w:hAnsi="Arial" w:cs="Arial"/>
          <w:i/>
          <w:sz w:val="20"/>
          <w:szCs w:val="20"/>
          <w:lang w:val="es-MX"/>
        </w:rPr>
      </w:pPr>
      <w:r>
        <w:rPr>
          <w:rFonts w:ascii="Arial" w:hAnsi="Arial" w:cs="Arial"/>
          <w:b/>
          <w:i/>
          <w:sz w:val="20"/>
          <w:szCs w:val="20"/>
          <w:lang w:val="es-MX"/>
        </w:rPr>
        <w:t>“</w:t>
      </w:r>
      <w:r w:rsidRPr="00042C58">
        <w:rPr>
          <w:rFonts w:ascii="Arial" w:hAnsi="Arial" w:cs="Arial"/>
          <w:b/>
          <w:i/>
          <w:sz w:val="20"/>
          <w:szCs w:val="20"/>
          <w:lang w:val="es-MX"/>
        </w:rPr>
        <w:t>Parágrafo 7.</w:t>
      </w:r>
      <w:r w:rsidRPr="00042C58">
        <w:rPr>
          <w:rFonts w:ascii="Arial" w:hAnsi="Arial" w:cs="Arial"/>
          <w:i/>
          <w:sz w:val="20"/>
          <w:szCs w:val="20"/>
          <w:lang w:val="es-MX"/>
        </w:rPr>
        <w:t xml:space="preserve"> Las personas prestadoras que cuenten con APS del primer segmento y/o con APS en las que optaron por aplicar la metodología correspondiente al primer segmento dando cumplimiento a lo establecido en los parágrafos 3 o 4 del ARTÍCULO 104 de la presente resolución, deberán aplicar el PDEA utilizado para el cálculo de las tarifas de la Resolución CRA 287 de 2004 en la fórmula del presente artículo, hasta tanto la CRA informe mediante resolución si se aplicó el modelo del DEA, los puntajes definitivos así como la fecha a partir de la cual regirán o si los prestadores deberán aplicar lo establecido en los parágrafos 3 o 4 del presente artículo, según corresponda.</w:t>
      </w:r>
      <w:r>
        <w:rPr>
          <w:rFonts w:ascii="Arial" w:hAnsi="Arial" w:cs="Arial"/>
          <w:i/>
          <w:sz w:val="20"/>
          <w:szCs w:val="20"/>
          <w:lang w:val="es-MX"/>
        </w:rPr>
        <w:t>”</w:t>
      </w:r>
    </w:p>
    <w:p w14:paraId="774EA4B2" w14:textId="425EBAA9" w:rsidR="00042C58" w:rsidRDefault="00042C58" w:rsidP="00744C19">
      <w:pPr>
        <w:spacing w:after="0" w:line="240" w:lineRule="auto"/>
        <w:jc w:val="both"/>
        <w:rPr>
          <w:rFonts w:ascii="Arial" w:hAnsi="Arial" w:cs="Arial"/>
          <w:sz w:val="20"/>
          <w:szCs w:val="20"/>
          <w:lang w:val="es-MX"/>
        </w:rPr>
      </w:pPr>
    </w:p>
    <w:p w14:paraId="49F8164F" w14:textId="06B89745" w:rsidR="003E61D0" w:rsidRDefault="00042C58" w:rsidP="00744C19">
      <w:pPr>
        <w:spacing w:after="0" w:line="240" w:lineRule="auto"/>
        <w:jc w:val="both"/>
        <w:rPr>
          <w:rFonts w:ascii="Arial" w:hAnsi="Arial" w:cs="Arial"/>
          <w:sz w:val="20"/>
          <w:szCs w:val="20"/>
          <w:lang w:val="es-MX"/>
        </w:rPr>
      </w:pPr>
      <w:r>
        <w:rPr>
          <w:rFonts w:ascii="Arial" w:hAnsi="Arial" w:cs="Arial"/>
          <w:sz w:val="20"/>
          <w:szCs w:val="20"/>
          <w:lang w:val="es-MX"/>
        </w:rPr>
        <w:t>De este modo, e</w:t>
      </w:r>
      <w:r w:rsidR="0015472D" w:rsidRPr="0015472D">
        <w:rPr>
          <w:rFonts w:ascii="Arial" w:hAnsi="Arial" w:cs="Arial"/>
          <w:sz w:val="20"/>
          <w:szCs w:val="20"/>
          <w:lang w:val="es-MX"/>
        </w:rPr>
        <w:t>l valor del CAU* y COU* con el P</w:t>
      </w:r>
      <w:r w:rsidR="0015472D" w:rsidRPr="00473C51">
        <w:rPr>
          <w:rFonts w:ascii="Arial" w:hAnsi="Arial" w:cs="Arial"/>
          <w:sz w:val="20"/>
          <w:szCs w:val="20"/>
          <w:vertAlign w:val="subscript"/>
          <w:lang w:val="es-MX"/>
        </w:rPr>
        <w:t>DEA</w:t>
      </w:r>
      <w:r w:rsidR="0015472D" w:rsidRPr="0015472D">
        <w:rPr>
          <w:rFonts w:ascii="Arial" w:hAnsi="Arial" w:cs="Arial"/>
          <w:sz w:val="20"/>
          <w:szCs w:val="20"/>
          <w:lang w:val="es-MX"/>
        </w:rPr>
        <w:t xml:space="preserve"> de la Resolución CRA 287</w:t>
      </w:r>
      <w:r w:rsidR="00473C51">
        <w:rPr>
          <w:rFonts w:ascii="Arial" w:hAnsi="Arial" w:cs="Arial"/>
          <w:sz w:val="20"/>
          <w:szCs w:val="20"/>
          <w:lang w:val="es-MX"/>
        </w:rPr>
        <w:t xml:space="preserve"> de 2004</w:t>
      </w:r>
      <w:r w:rsidR="0015472D" w:rsidRPr="0015472D">
        <w:rPr>
          <w:rFonts w:ascii="Arial" w:hAnsi="Arial" w:cs="Arial"/>
          <w:sz w:val="20"/>
          <w:szCs w:val="20"/>
          <w:lang w:val="es-MX"/>
        </w:rPr>
        <w:t xml:space="preserve"> </w:t>
      </w:r>
      <w:r>
        <w:rPr>
          <w:rFonts w:ascii="Arial" w:hAnsi="Arial" w:cs="Arial"/>
          <w:sz w:val="20"/>
          <w:szCs w:val="20"/>
          <w:lang w:val="es-MX"/>
        </w:rPr>
        <w:t xml:space="preserve">era una medida temporal que se encuentra </w:t>
      </w:r>
      <w:r w:rsidR="0015472D" w:rsidRPr="0015472D">
        <w:rPr>
          <w:rFonts w:ascii="Arial" w:hAnsi="Arial" w:cs="Arial"/>
          <w:sz w:val="20"/>
          <w:szCs w:val="20"/>
          <w:lang w:val="es-MX"/>
        </w:rPr>
        <w:t xml:space="preserve">contemplada en </w:t>
      </w:r>
      <w:r w:rsidR="003A7F68">
        <w:rPr>
          <w:rFonts w:ascii="Arial" w:hAnsi="Arial" w:cs="Arial"/>
          <w:sz w:val="20"/>
          <w:szCs w:val="20"/>
          <w:lang w:val="es-MX"/>
        </w:rPr>
        <w:t>la R</w:t>
      </w:r>
      <w:r w:rsidR="0015472D" w:rsidRPr="0015472D">
        <w:rPr>
          <w:rFonts w:ascii="Arial" w:hAnsi="Arial" w:cs="Arial"/>
          <w:sz w:val="20"/>
          <w:szCs w:val="20"/>
          <w:lang w:val="es-MX"/>
        </w:rPr>
        <w:t>esolución</w:t>
      </w:r>
      <w:r w:rsidR="003A7F68">
        <w:rPr>
          <w:rFonts w:ascii="Arial" w:hAnsi="Arial" w:cs="Arial"/>
          <w:sz w:val="20"/>
          <w:szCs w:val="20"/>
          <w:lang w:val="es-MX"/>
        </w:rPr>
        <w:t xml:space="preserve"> CRA 688 de 2014</w:t>
      </w:r>
      <w:r w:rsidR="00473C51">
        <w:rPr>
          <w:rFonts w:ascii="Arial" w:hAnsi="Arial" w:cs="Arial"/>
          <w:sz w:val="20"/>
          <w:szCs w:val="20"/>
          <w:lang w:val="es-MX"/>
        </w:rPr>
        <w:t>.</w:t>
      </w:r>
      <w:r w:rsidR="0007467C">
        <w:rPr>
          <w:rFonts w:ascii="Arial" w:hAnsi="Arial" w:cs="Arial"/>
          <w:sz w:val="20"/>
          <w:szCs w:val="20"/>
          <w:lang w:val="es-MX"/>
        </w:rPr>
        <w:t xml:space="preserve"> </w:t>
      </w:r>
      <w:r>
        <w:rPr>
          <w:rFonts w:ascii="Arial" w:hAnsi="Arial" w:cs="Arial"/>
          <w:sz w:val="20"/>
          <w:szCs w:val="20"/>
          <w:lang w:val="es-MX"/>
        </w:rPr>
        <w:t>Por lo que</w:t>
      </w:r>
      <w:r w:rsidR="0007467C">
        <w:rPr>
          <w:rFonts w:ascii="Arial" w:hAnsi="Arial" w:cs="Arial"/>
          <w:sz w:val="20"/>
          <w:szCs w:val="20"/>
          <w:lang w:val="es-MX"/>
        </w:rPr>
        <w:t xml:space="preserve">, el ajuste propuesto no implica una modificación de la fórmula establecida en la Resolución </w:t>
      </w:r>
      <w:r w:rsidR="003A7F68">
        <w:rPr>
          <w:rFonts w:ascii="Arial" w:hAnsi="Arial" w:cs="Arial"/>
          <w:sz w:val="20"/>
          <w:szCs w:val="20"/>
          <w:lang w:val="es-MX"/>
        </w:rPr>
        <w:t>ibídem.</w:t>
      </w:r>
    </w:p>
    <w:p w14:paraId="00FB7115" w14:textId="02584265" w:rsidR="00F24AE0" w:rsidRDefault="00F24AE0" w:rsidP="00744C19">
      <w:pPr>
        <w:spacing w:after="0" w:line="240" w:lineRule="auto"/>
        <w:jc w:val="both"/>
        <w:rPr>
          <w:rFonts w:ascii="Arial" w:hAnsi="Arial" w:cs="Arial"/>
          <w:sz w:val="20"/>
          <w:szCs w:val="20"/>
          <w:lang w:val="es-MX"/>
        </w:rPr>
      </w:pPr>
    </w:p>
    <w:p w14:paraId="212DCEDE" w14:textId="644C2657" w:rsidR="00D45B40" w:rsidRDefault="0007467C" w:rsidP="00744C19">
      <w:pPr>
        <w:spacing w:after="0" w:line="240" w:lineRule="auto"/>
        <w:jc w:val="both"/>
        <w:rPr>
          <w:rFonts w:ascii="Arial" w:hAnsi="Arial" w:cs="Arial"/>
          <w:sz w:val="20"/>
          <w:szCs w:val="20"/>
        </w:rPr>
      </w:pPr>
      <w:r>
        <w:rPr>
          <w:rFonts w:ascii="Arial" w:hAnsi="Arial" w:cs="Arial"/>
          <w:sz w:val="20"/>
          <w:szCs w:val="20"/>
          <w:lang w:val="es-MX"/>
        </w:rPr>
        <w:t>Ahora bien, e</w:t>
      </w:r>
      <w:r w:rsidR="00006F82">
        <w:rPr>
          <w:rFonts w:ascii="Arial" w:hAnsi="Arial" w:cs="Arial"/>
          <w:sz w:val="20"/>
          <w:szCs w:val="20"/>
          <w:lang w:val="es-MX"/>
        </w:rPr>
        <w:t xml:space="preserve">n relación con la consulta sobre </w:t>
      </w:r>
      <w:r>
        <w:rPr>
          <w:rFonts w:ascii="Arial" w:hAnsi="Arial" w:cs="Arial"/>
          <w:sz w:val="20"/>
          <w:szCs w:val="20"/>
          <w:lang w:val="es-MX"/>
        </w:rPr>
        <w:t>l</w:t>
      </w:r>
      <w:r w:rsidR="00006F82" w:rsidRPr="00006F82">
        <w:rPr>
          <w:rFonts w:ascii="Arial" w:hAnsi="Arial" w:cs="Arial"/>
          <w:sz w:val="20"/>
          <w:szCs w:val="20"/>
          <w:lang w:val="es-MX"/>
        </w:rPr>
        <w:t>a diferencia calculada</w:t>
      </w:r>
      <w:r w:rsidR="00D45B40">
        <w:rPr>
          <w:rFonts w:ascii="Arial" w:hAnsi="Arial" w:cs="Arial"/>
          <w:sz w:val="20"/>
          <w:szCs w:val="20"/>
        </w:rPr>
        <w:t xml:space="preserve"> </w:t>
      </w:r>
      <w:r w:rsidR="00D45B40" w:rsidRPr="00F7314C">
        <w:rPr>
          <w:rFonts w:ascii="Arial" w:hAnsi="Arial" w:cs="Arial"/>
          <w:sz w:val="20"/>
          <w:szCs w:val="20"/>
          <w:lang w:val="es-CO" w:eastAsia="zh-CN"/>
        </w:rPr>
        <w:t>entre el valor del</w:t>
      </w:r>
      <w:r w:rsidR="00D45B40">
        <w:rPr>
          <w:rFonts w:ascii="Arial" w:hAnsi="Arial" w:cs="Arial"/>
          <w:sz w:val="20"/>
          <w:szCs w:val="20"/>
          <w:lang w:val="es-CO" w:eastAsia="zh-CN"/>
        </w:rPr>
        <w:t xml:space="preserve"> </w:t>
      </w:r>
      <m:oMath>
        <m:sSubSup>
          <m:sSubSupPr>
            <m:ctrlPr>
              <w:rPr>
                <w:rFonts w:ascii="Cambria Math" w:hAnsi="Cambria Math" w:cs="Arial"/>
                <w:bCs/>
                <w:i/>
                <w:sz w:val="20"/>
                <w:szCs w:val="20"/>
                <w:lang w:val="es-CO"/>
              </w:rPr>
            </m:ctrlPr>
          </m:sSubSupPr>
          <m:e>
            <m:r>
              <w:rPr>
                <w:rFonts w:ascii="Cambria Math" w:hAnsi="Cambria Math" w:cs="Arial"/>
                <w:sz w:val="20"/>
                <w:szCs w:val="20"/>
                <w:lang w:val="es-CO"/>
              </w:rPr>
              <m:t>CAU</m:t>
            </m:r>
          </m:e>
          <m:sub>
            <m:r>
              <w:rPr>
                <w:rFonts w:ascii="Cambria Math" w:hAnsi="Cambria Math" w:cs="Arial"/>
                <w:sz w:val="20"/>
                <w:szCs w:val="20"/>
                <w:lang w:val="es-CO"/>
              </w:rPr>
              <m:t>i,ac/al</m:t>
            </m:r>
          </m:sub>
          <m:sup>
            <m:r>
              <w:rPr>
                <w:rFonts w:ascii="Cambria Math" w:hAnsi="Cambria Math" w:cs="Arial"/>
                <w:sz w:val="20"/>
                <w:szCs w:val="20"/>
                <w:lang w:val="es-CO"/>
              </w:rPr>
              <m:t>e</m:t>
            </m:r>
          </m:sup>
        </m:sSubSup>
      </m:oMath>
      <w:r w:rsidR="00D45B40">
        <w:rPr>
          <w:rFonts w:ascii="Arial" w:hAnsi="Arial" w:cs="Arial"/>
          <w:bCs/>
          <w:sz w:val="20"/>
          <w:szCs w:val="20"/>
          <w:lang w:val="es-CO"/>
        </w:rPr>
        <w:t xml:space="preserve"> y</w:t>
      </w:r>
      <w:r w:rsidR="00D45B40">
        <w:rPr>
          <w:rFonts w:ascii="Arial" w:hAnsi="Arial" w:cs="Arial"/>
          <w:sz w:val="20"/>
          <w:szCs w:val="20"/>
          <w:lang w:val="es-CO" w:eastAsia="zh-CN"/>
        </w:rPr>
        <w:t xml:space="preserve"> </w:t>
      </w:r>
      <m:oMath>
        <m:sSubSup>
          <m:sSubSupPr>
            <m:ctrlPr>
              <w:rPr>
                <w:rFonts w:ascii="Cambria Math" w:hAnsi="Cambria Math" w:cs="Arial"/>
                <w:bCs/>
                <w:i/>
                <w:sz w:val="20"/>
                <w:szCs w:val="20"/>
                <w:lang w:val="es-CO"/>
              </w:rPr>
            </m:ctrlPr>
          </m:sSubSupPr>
          <m:e>
            <m:r>
              <w:rPr>
                <w:rFonts w:ascii="Cambria Math" w:hAnsi="Cambria Math" w:cs="Arial"/>
                <w:sz w:val="20"/>
                <w:szCs w:val="20"/>
                <w:lang w:val="es-CO"/>
              </w:rPr>
              <m:t>COU</m:t>
            </m:r>
          </m:e>
          <m:sub>
            <m:r>
              <w:rPr>
                <w:rFonts w:ascii="Cambria Math" w:hAnsi="Cambria Math" w:cs="Arial"/>
                <w:sz w:val="20"/>
                <w:szCs w:val="20"/>
                <w:lang w:val="es-CO"/>
              </w:rPr>
              <m:t>i,ac/al</m:t>
            </m:r>
          </m:sub>
          <m:sup>
            <m:r>
              <w:rPr>
                <w:rFonts w:ascii="Cambria Math" w:hAnsi="Cambria Math" w:cs="Arial"/>
                <w:sz w:val="20"/>
                <w:szCs w:val="20"/>
                <w:lang w:val="es-CO"/>
              </w:rPr>
              <m:t>e</m:t>
            </m:r>
          </m:sup>
        </m:sSubSup>
      </m:oMath>
      <w:r w:rsidR="00D45B40" w:rsidRPr="00F7314C">
        <w:rPr>
          <w:rFonts w:ascii="Arial" w:hAnsi="Arial" w:cs="Arial"/>
          <w:sz w:val="20"/>
          <w:szCs w:val="20"/>
        </w:rPr>
        <w:t xml:space="preserve"> </w:t>
      </w:r>
      <w:r w:rsidR="00D45B40" w:rsidRPr="00F7314C">
        <w:rPr>
          <w:rFonts w:ascii="Arial" w:hAnsi="Arial" w:cs="Arial"/>
          <w:sz w:val="20"/>
          <w:szCs w:val="20"/>
          <w:lang w:val="es-CO" w:eastAsia="zh-CN"/>
        </w:rPr>
        <w:t xml:space="preserve"> </w:t>
      </w:r>
      <w:r w:rsidR="00D45B40" w:rsidRPr="00F7314C">
        <w:rPr>
          <w:rFonts w:ascii="Arial" w:hAnsi="Arial" w:cs="Arial"/>
          <w:sz w:val="20"/>
          <w:szCs w:val="20"/>
        </w:rPr>
        <w:t>de los años 1 y 2, para cada servicio público domiciliario</w:t>
      </w:r>
      <w:r w:rsidR="00D45B40">
        <w:rPr>
          <w:rFonts w:ascii="Arial" w:hAnsi="Arial" w:cs="Arial"/>
          <w:sz w:val="20"/>
          <w:szCs w:val="20"/>
        </w:rPr>
        <w:t>,</w:t>
      </w:r>
      <w:r w:rsidR="00D45B40" w:rsidRPr="00F7314C">
        <w:rPr>
          <w:rFonts w:ascii="Arial" w:hAnsi="Arial" w:cs="Arial"/>
          <w:sz w:val="20"/>
          <w:szCs w:val="20"/>
        </w:rPr>
        <w:t xml:space="preserve"> calculado inicialmente en su estudio de costos y los nuevos valores del</w:t>
      </w:r>
      <m:oMath>
        <m:sSubSup>
          <m:sSubSupPr>
            <m:ctrlPr>
              <w:rPr>
                <w:rFonts w:ascii="Cambria Math" w:hAnsi="Cambria Math" w:cs="Arial"/>
                <w:bCs/>
                <w:i/>
                <w:sz w:val="20"/>
                <w:szCs w:val="20"/>
                <w:lang w:val="es-CO"/>
              </w:rPr>
            </m:ctrlPr>
          </m:sSubSupPr>
          <m:e>
            <m:r>
              <w:rPr>
                <w:rFonts w:ascii="Cambria Math" w:hAnsi="Cambria Math" w:cs="Arial"/>
                <w:sz w:val="20"/>
                <w:szCs w:val="20"/>
                <w:lang w:val="es-CO"/>
              </w:rPr>
              <m:t xml:space="preserve"> CAU</m:t>
            </m:r>
          </m:e>
          <m:sub>
            <m:r>
              <w:rPr>
                <w:rFonts w:ascii="Cambria Math" w:hAnsi="Cambria Math" w:cs="Arial"/>
                <w:sz w:val="20"/>
                <w:szCs w:val="20"/>
                <w:lang w:val="es-CO"/>
              </w:rPr>
              <m:t>i,ac/al</m:t>
            </m:r>
          </m:sub>
          <m:sup>
            <m:r>
              <w:rPr>
                <w:rFonts w:ascii="Cambria Math" w:hAnsi="Cambria Math" w:cs="Arial"/>
                <w:sz w:val="20"/>
                <w:szCs w:val="20"/>
                <w:lang w:val="es-CO"/>
              </w:rPr>
              <m:t>e</m:t>
            </m:r>
          </m:sup>
        </m:sSubSup>
      </m:oMath>
      <w:r w:rsidR="00D45B40">
        <w:rPr>
          <w:rFonts w:ascii="Arial" w:hAnsi="Arial" w:cs="Arial"/>
          <w:bCs/>
          <w:sz w:val="20"/>
          <w:szCs w:val="20"/>
          <w:lang w:val="es-CO"/>
        </w:rPr>
        <w:t xml:space="preserve"> y</w:t>
      </w:r>
      <w:r w:rsidR="00D45B40">
        <w:rPr>
          <w:rFonts w:ascii="Arial" w:hAnsi="Arial" w:cs="Arial"/>
          <w:sz w:val="20"/>
          <w:szCs w:val="20"/>
          <w:lang w:val="es-CO" w:eastAsia="zh-CN"/>
        </w:rPr>
        <w:t xml:space="preserve"> </w:t>
      </w:r>
      <m:oMath>
        <m:sSubSup>
          <m:sSubSupPr>
            <m:ctrlPr>
              <w:rPr>
                <w:rFonts w:ascii="Cambria Math" w:hAnsi="Cambria Math" w:cs="Arial"/>
                <w:bCs/>
                <w:i/>
                <w:sz w:val="20"/>
                <w:szCs w:val="20"/>
                <w:lang w:val="es-CO"/>
              </w:rPr>
            </m:ctrlPr>
          </m:sSubSupPr>
          <m:e>
            <m:r>
              <w:rPr>
                <w:rFonts w:ascii="Cambria Math" w:hAnsi="Cambria Math" w:cs="Arial"/>
                <w:sz w:val="20"/>
                <w:szCs w:val="20"/>
                <w:lang w:val="es-CO"/>
              </w:rPr>
              <m:t>COU</m:t>
            </m:r>
          </m:e>
          <m:sub>
            <m:r>
              <w:rPr>
                <w:rFonts w:ascii="Cambria Math" w:hAnsi="Cambria Math" w:cs="Arial"/>
                <w:sz w:val="20"/>
                <w:szCs w:val="20"/>
                <w:lang w:val="es-CO"/>
              </w:rPr>
              <m:t>i,ac/al</m:t>
            </m:r>
          </m:sub>
          <m:sup>
            <m:r>
              <w:rPr>
                <w:rFonts w:ascii="Cambria Math" w:hAnsi="Cambria Math" w:cs="Arial"/>
                <w:sz w:val="20"/>
                <w:szCs w:val="20"/>
                <w:lang w:val="es-CO"/>
              </w:rPr>
              <m:t>e</m:t>
            </m:r>
          </m:sup>
        </m:sSubSup>
      </m:oMath>
      <w:r w:rsidR="00D45B40" w:rsidRPr="00F7314C">
        <w:rPr>
          <w:rFonts w:ascii="Arial" w:hAnsi="Arial" w:cs="Arial"/>
          <w:sz w:val="20"/>
          <w:szCs w:val="20"/>
        </w:rPr>
        <w:t xml:space="preserve"> </w:t>
      </w:r>
      <w:r w:rsidR="00D45B40" w:rsidRPr="00F7314C">
        <w:rPr>
          <w:rFonts w:ascii="Arial" w:hAnsi="Arial" w:cs="Arial"/>
          <w:sz w:val="20"/>
          <w:szCs w:val="20"/>
          <w:lang w:val="es-CO" w:eastAsia="zh-CN"/>
        </w:rPr>
        <w:t xml:space="preserve"> </w:t>
      </w:r>
      <w:r w:rsidR="00D45B40" w:rsidRPr="00F7314C">
        <w:rPr>
          <w:rFonts w:ascii="Arial" w:hAnsi="Arial" w:cs="Arial"/>
          <w:sz w:val="20"/>
          <w:szCs w:val="20"/>
        </w:rPr>
        <w:t>para dichos años</w:t>
      </w:r>
      <w:r w:rsidR="00D45B40">
        <w:rPr>
          <w:rFonts w:ascii="Arial" w:hAnsi="Arial" w:cs="Arial"/>
          <w:sz w:val="20"/>
          <w:szCs w:val="20"/>
        </w:rPr>
        <w:t xml:space="preserve">, se aclara que de acuerdo con el resultado, se deberá ajustar </w:t>
      </w:r>
      <w:r w:rsidR="003A7F68">
        <w:rPr>
          <w:rFonts w:ascii="Arial" w:hAnsi="Arial" w:cs="Arial"/>
          <w:sz w:val="20"/>
          <w:szCs w:val="20"/>
        </w:rPr>
        <w:t>los costos estimados en el estudio de costos ya sea sumando o restando de acuerdo con el monto resultante</w:t>
      </w:r>
      <w:r w:rsidR="006E215A">
        <w:rPr>
          <w:rFonts w:ascii="Arial" w:hAnsi="Arial" w:cs="Arial"/>
          <w:sz w:val="20"/>
          <w:szCs w:val="20"/>
        </w:rPr>
        <w:t xml:space="preserve"> de acuerdo con los artículos 6 y 10 de la resolución definitiva</w:t>
      </w:r>
      <w:r w:rsidR="003A7F68">
        <w:rPr>
          <w:rFonts w:ascii="Arial" w:hAnsi="Arial" w:cs="Arial"/>
          <w:sz w:val="20"/>
          <w:szCs w:val="20"/>
        </w:rPr>
        <w:t>.</w:t>
      </w:r>
    </w:p>
    <w:p w14:paraId="70F70709" w14:textId="77777777" w:rsidR="003A7F68" w:rsidRDefault="003A7F68" w:rsidP="00744C19">
      <w:pPr>
        <w:spacing w:after="0" w:line="240" w:lineRule="auto"/>
        <w:jc w:val="both"/>
        <w:rPr>
          <w:rFonts w:ascii="Arial" w:hAnsi="Arial" w:cs="Arial"/>
          <w:sz w:val="20"/>
          <w:szCs w:val="20"/>
        </w:rPr>
      </w:pPr>
    </w:p>
    <w:p w14:paraId="2AE26C1C" w14:textId="1216645D" w:rsidR="003A7F68" w:rsidRDefault="003A7F68" w:rsidP="00744C19">
      <w:pPr>
        <w:spacing w:after="0" w:line="240" w:lineRule="auto"/>
        <w:jc w:val="both"/>
        <w:rPr>
          <w:rFonts w:ascii="Arial" w:hAnsi="Arial" w:cs="Arial"/>
          <w:sz w:val="20"/>
          <w:szCs w:val="20"/>
        </w:rPr>
      </w:pPr>
    </w:p>
    <w:p w14:paraId="4BEB8AAE" w14:textId="77777777" w:rsidR="00B37730" w:rsidRDefault="00B37730" w:rsidP="00B37730">
      <w:pPr>
        <w:pStyle w:val="Ttulo2"/>
        <w:rPr>
          <w:lang w:val="es-CO" w:eastAsia="es-CO"/>
        </w:rPr>
      </w:pPr>
      <w:bookmarkStart w:id="39" w:name="_Toc506988587"/>
      <w:r>
        <w:t>RESPUESTA NO.</w:t>
      </w:r>
      <w:r w:rsidRPr="00097873">
        <w:fldChar w:fldCharType="begin"/>
      </w:r>
      <w:r w:rsidRPr="00097873">
        <w:instrText xml:space="preserve"> SEQ RESPUESTA_N. \* ARABIC </w:instrText>
      </w:r>
      <w:r w:rsidRPr="00097873">
        <w:fldChar w:fldCharType="separate"/>
      </w:r>
      <w:r>
        <w:rPr>
          <w:noProof/>
        </w:rPr>
        <w:t>9</w:t>
      </w:r>
      <w:r w:rsidRPr="00097873">
        <w:fldChar w:fldCharType="end"/>
      </w:r>
      <w:r w:rsidRPr="00097873">
        <w:t xml:space="preserve">. </w:t>
      </w:r>
      <w:r w:rsidRPr="00B37730">
        <w:rPr>
          <w:lang w:val="es-CO" w:eastAsia="es-CO"/>
        </w:rPr>
        <w:t>IMPACTOS EN LAS EMPRESAS QUE NO ENTRAN EN LA MUESTRA</w:t>
      </w:r>
      <w:bookmarkEnd w:id="39"/>
    </w:p>
    <w:p w14:paraId="26340550" w14:textId="77777777" w:rsidR="00DE4159" w:rsidRPr="00106097" w:rsidRDefault="00DE4159" w:rsidP="00106097">
      <w:pPr>
        <w:spacing w:after="0" w:line="240" w:lineRule="auto"/>
        <w:jc w:val="both"/>
        <w:rPr>
          <w:rFonts w:ascii="Arial" w:hAnsi="Arial" w:cs="Arial"/>
          <w:sz w:val="20"/>
          <w:szCs w:val="20"/>
          <w:lang w:val="es-CO" w:eastAsia="es-CO"/>
        </w:rPr>
      </w:pPr>
    </w:p>
    <w:p w14:paraId="34BC8835" w14:textId="77777777" w:rsidR="00AE0150" w:rsidRPr="00F7314C" w:rsidRDefault="00AE0150" w:rsidP="00AE0150">
      <w:pPr>
        <w:suppressAutoHyphens w:val="0"/>
        <w:autoSpaceDE w:val="0"/>
        <w:autoSpaceDN w:val="0"/>
        <w:adjustRightInd w:val="0"/>
        <w:spacing w:after="0" w:line="240" w:lineRule="auto"/>
        <w:jc w:val="both"/>
        <w:rPr>
          <w:rFonts w:ascii="Arial" w:hAnsi="Arial" w:cs="Arial"/>
          <w:sz w:val="20"/>
          <w:szCs w:val="20"/>
          <w:lang w:val="es-CO" w:eastAsia="es-CO"/>
        </w:rPr>
      </w:pPr>
      <w:r w:rsidRPr="00F7314C">
        <w:rPr>
          <w:rFonts w:ascii="Arial" w:hAnsi="Arial" w:cs="Arial"/>
          <w:sz w:val="20"/>
          <w:szCs w:val="20"/>
          <w:lang w:val="es-CO" w:eastAsia="es-CO"/>
        </w:rPr>
        <w:t xml:space="preserve">Para modificar, adicionar y aclarar la Resolución CRA 688 de 2014, esta Comisión de Regulación expidió la Resolución CRA 735 de 2015, publicada en el Diario Oficial 49.730 de 18 de diciembre de 2015 y en la cual, por medio del artículo 47, se modifica y adiciona el Anexo II de la Resolución CRA 688 de 2014; estableciendo que la metodología para determinar el </w:t>
      </w:r>
      <w:r>
        <w:rPr>
          <w:rFonts w:ascii="Arial" w:hAnsi="Arial" w:cs="Arial"/>
          <w:sz w:val="20"/>
          <w:szCs w:val="20"/>
          <w:lang w:val="es-CO" w:eastAsia="es-CO"/>
        </w:rPr>
        <w:t>P</w:t>
      </w:r>
      <w:r w:rsidRPr="00F7314C">
        <w:rPr>
          <w:rFonts w:ascii="Arial" w:hAnsi="Arial" w:cs="Arial"/>
          <w:sz w:val="20"/>
          <w:szCs w:val="20"/>
          <w:lang w:val="es-CO" w:eastAsia="es-CO"/>
        </w:rPr>
        <w:t xml:space="preserve">untaje de </w:t>
      </w:r>
      <w:r>
        <w:rPr>
          <w:rFonts w:ascii="Arial" w:hAnsi="Arial" w:cs="Arial"/>
          <w:sz w:val="20"/>
          <w:szCs w:val="20"/>
          <w:lang w:val="es-CO" w:eastAsia="es-CO"/>
        </w:rPr>
        <w:t>E</w:t>
      </w:r>
      <w:r w:rsidRPr="00F7314C">
        <w:rPr>
          <w:rFonts w:ascii="Arial" w:hAnsi="Arial" w:cs="Arial"/>
          <w:sz w:val="20"/>
          <w:szCs w:val="20"/>
          <w:lang w:val="es-CO" w:eastAsia="es-CO"/>
        </w:rPr>
        <w:t xml:space="preserve">ficiencia </w:t>
      </w:r>
      <w:r>
        <w:rPr>
          <w:rFonts w:ascii="Arial" w:hAnsi="Arial" w:cs="Arial"/>
          <w:sz w:val="20"/>
          <w:szCs w:val="20"/>
          <w:lang w:val="es-CO" w:eastAsia="es-CO"/>
        </w:rPr>
        <w:t>C</w:t>
      </w:r>
      <w:r w:rsidRPr="00F7314C">
        <w:rPr>
          <w:rFonts w:ascii="Arial" w:hAnsi="Arial" w:cs="Arial"/>
          <w:sz w:val="20"/>
          <w:szCs w:val="20"/>
          <w:lang w:val="es-CO" w:eastAsia="es-CO"/>
        </w:rPr>
        <w:t xml:space="preserve">omparativa </w:t>
      </w:r>
      <w:r>
        <w:rPr>
          <w:rFonts w:ascii="Arial" w:hAnsi="Arial" w:cs="Arial"/>
          <w:sz w:val="20"/>
          <w:szCs w:val="20"/>
          <w:lang w:val="es-CO" w:eastAsia="es-CO"/>
        </w:rPr>
        <w:t xml:space="preserve"> DEA - </w:t>
      </w:r>
      <w:r w:rsidRPr="00761DD5">
        <w:rPr>
          <w:rFonts w:ascii="Arial" w:hAnsi="Arial" w:cs="Arial"/>
          <w:sz w:val="20"/>
          <w:szCs w:val="20"/>
          <w:lang w:val="es-CO" w:eastAsia="es-CO"/>
        </w:rPr>
        <w:t>P</w:t>
      </w:r>
      <w:r w:rsidRPr="00761DD5">
        <w:rPr>
          <w:rFonts w:ascii="Arial" w:hAnsi="Arial" w:cs="Arial"/>
          <w:sz w:val="20"/>
          <w:szCs w:val="20"/>
          <w:vertAlign w:val="subscript"/>
          <w:lang w:val="es-CO" w:eastAsia="es-CO"/>
        </w:rPr>
        <w:t>DEA</w:t>
      </w:r>
      <w:r w:rsidRPr="00761DD5">
        <w:rPr>
          <w:rFonts w:ascii="Arial" w:hAnsi="Arial" w:cs="Arial"/>
          <w:sz w:val="20"/>
          <w:szCs w:val="20"/>
          <w:lang w:val="es-CO" w:eastAsia="es-CO"/>
        </w:rPr>
        <w:t xml:space="preserve"> </w:t>
      </w:r>
      <w:r w:rsidRPr="00F7314C">
        <w:rPr>
          <w:rFonts w:ascii="Arial" w:hAnsi="Arial" w:cs="Arial"/>
          <w:sz w:val="20"/>
          <w:szCs w:val="20"/>
          <w:lang w:val="es-CO" w:eastAsia="es-CO"/>
        </w:rPr>
        <w:t xml:space="preserve">de los costos administrativos y operativos comparables será el Análisis de la Envolvente de Datos (DEA: Data Envelopment Analysis), el cual aplica en las APS pertenecientes al primer segmento y en las APS en las que opten por aplicar la metodología del primer segmento. En la expedición de la </w:t>
      </w:r>
      <w:r>
        <w:rPr>
          <w:rFonts w:ascii="Arial" w:hAnsi="Arial" w:cs="Arial"/>
          <w:sz w:val="20"/>
          <w:szCs w:val="20"/>
          <w:lang w:val="es-CO" w:eastAsia="es-CO"/>
        </w:rPr>
        <w:t>R</w:t>
      </w:r>
      <w:r w:rsidRPr="00F7314C">
        <w:rPr>
          <w:rFonts w:ascii="Arial" w:hAnsi="Arial" w:cs="Arial"/>
          <w:sz w:val="20"/>
          <w:szCs w:val="20"/>
          <w:lang w:val="es-CO" w:eastAsia="es-CO"/>
        </w:rPr>
        <w:t>esolución se tuvieron en cuenta las observaciones recibidas dentro del proceso de participación ciu</w:t>
      </w:r>
      <w:r>
        <w:rPr>
          <w:rFonts w:ascii="Arial" w:hAnsi="Arial" w:cs="Arial"/>
          <w:sz w:val="20"/>
          <w:szCs w:val="20"/>
          <w:lang w:val="es-CO" w:eastAsia="es-CO"/>
        </w:rPr>
        <w:t>dadana otorgado al proyecto de R</w:t>
      </w:r>
      <w:r w:rsidRPr="00F7314C">
        <w:rPr>
          <w:rFonts w:ascii="Arial" w:hAnsi="Arial" w:cs="Arial"/>
          <w:sz w:val="20"/>
          <w:szCs w:val="20"/>
          <w:lang w:val="es-CO" w:eastAsia="es-CO"/>
        </w:rPr>
        <w:t>esolución contenido en la Resolución CRA 712 de 2015.</w:t>
      </w:r>
    </w:p>
    <w:p w14:paraId="3FC2314C" w14:textId="77777777" w:rsidR="00AE0150" w:rsidRPr="00F7314C" w:rsidRDefault="00AE0150" w:rsidP="00AE0150">
      <w:pPr>
        <w:tabs>
          <w:tab w:val="left" w:pos="2850"/>
        </w:tabs>
        <w:spacing w:after="0" w:line="240" w:lineRule="auto"/>
        <w:ind w:right="18"/>
        <w:jc w:val="both"/>
        <w:rPr>
          <w:rFonts w:ascii="Arial" w:hAnsi="Arial" w:cs="Arial"/>
          <w:sz w:val="20"/>
          <w:szCs w:val="20"/>
          <w:lang w:eastAsia="zh-CN"/>
        </w:rPr>
      </w:pPr>
    </w:p>
    <w:p w14:paraId="17E9F47F" w14:textId="77777777" w:rsidR="00AE0150" w:rsidRPr="00F7314C" w:rsidRDefault="00AE0150" w:rsidP="00AE0150">
      <w:pPr>
        <w:spacing w:after="0" w:line="240" w:lineRule="auto"/>
        <w:ind w:right="49"/>
        <w:jc w:val="both"/>
        <w:rPr>
          <w:rFonts w:ascii="Arial" w:hAnsi="Arial" w:cs="Arial"/>
          <w:i/>
          <w:sz w:val="20"/>
          <w:szCs w:val="20"/>
          <w:lang w:val="es-CO"/>
        </w:rPr>
      </w:pPr>
      <w:r w:rsidRPr="00F7314C">
        <w:rPr>
          <w:rFonts w:ascii="Arial" w:hAnsi="Arial" w:cs="Arial"/>
          <w:sz w:val="20"/>
          <w:szCs w:val="20"/>
          <w:lang w:val="es-CO"/>
        </w:rPr>
        <w:t>Igualmente, por medio de los</w:t>
      </w:r>
      <w:r w:rsidRPr="00F7314C">
        <w:rPr>
          <w:rFonts w:ascii="Arial" w:hAnsi="Arial" w:cs="Arial"/>
          <w:sz w:val="20"/>
          <w:szCs w:val="20"/>
        </w:rPr>
        <w:t xml:space="preserve"> artículo</w:t>
      </w:r>
      <w:r w:rsidRPr="00F7314C">
        <w:rPr>
          <w:rFonts w:ascii="Arial" w:hAnsi="Arial" w:cs="Arial"/>
          <w:sz w:val="20"/>
          <w:szCs w:val="20"/>
          <w:lang w:val="es-CO"/>
        </w:rPr>
        <w:t>s</w:t>
      </w:r>
      <w:r w:rsidRPr="00F7314C">
        <w:rPr>
          <w:rFonts w:ascii="Arial" w:hAnsi="Arial" w:cs="Arial"/>
          <w:sz w:val="20"/>
          <w:szCs w:val="20"/>
        </w:rPr>
        <w:t xml:space="preserve"> 10 </w:t>
      </w:r>
      <w:r w:rsidRPr="00F7314C">
        <w:rPr>
          <w:rFonts w:ascii="Arial" w:hAnsi="Arial" w:cs="Arial"/>
          <w:sz w:val="20"/>
          <w:szCs w:val="20"/>
          <w:lang w:val="es-CO"/>
        </w:rPr>
        <w:t xml:space="preserve">y 13 </w:t>
      </w:r>
      <w:r w:rsidRPr="00F7314C">
        <w:rPr>
          <w:rFonts w:ascii="Arial" w:hAnsi="Arial" w:cs="Arial"/>
          <w:sz w:val="20"/>
          <w:szCs w:val="20"/>
        </w:rPr>
        <w:t xml:space="preserve">de la Resolución </w:t>
      </w:r>
      <w:r w:rsidRPr="00F7314C">
        <w:rPr>
          <w:rFonts w:ascii="Arial" w:hAnsi="Arial" w:cs="Arial"/>
          <w:sz w:val="20"/>
          <w:szCs w:val="20"/>
          <w:lang w:val="es-CO"/>
        </w:rPr>
        <w:t>CRA 735 de 2015 se adiciona el parágrafo 7</w:t>
      </w:r>
      <w:r w:rsidRPr="00F7314C">
        <w:rPr>
          <w:rFonts w:ascii="Arial" w:hAnsi="Arial" w:cs="Arial"/>
          <w:sz w:val="20"/>
          <w:szCs w:val="20"/>
          <w:lang w:val="es-MX" w:eastAsia="zh-CN"/>
        </w:rPr>
        <w:t xml:space="preserve"> </w:t>
      </w:r>
      <w:r w:rsidRPr="00F7314C">
        <w:rPr>
          <w:rFonts w:ascii="Arial" w:hAnsi="Arial" w:cs="Arial"/>
          <w:sz w:val="20"/>
          <w:szCs w:val="20"/>
          <w:lang w:val="es-CO"/>
        </w:rPr>
        <w:t xml:space="preserve">de los artículos 26 y 33 de la Resolución CRA 688 de 2014, que establece que: </w:t>
      </w:r>
      <w:r w:rsidRPr="00F7314C">
        <w:rPr>
          <w:rFonts w:ascii="Arial" w:hAnsi="Arial" w:cs="Arial"/>
          <w:i/>
          <w:sz w:val="20"/>
          <w:szCs w:val="20"/>
          <w:lang w:val="es-CO"/>
        </w:rPr>
        <w:t>“las personas prestadoras que cuenten con APS del primer segmento y/o con APS en las que optaron por aplicar la metodología correspondiente al primer segmento dando cumplimiento a lo establecido en los parágrafos 3 o 4 del ARTÍCULO 104 de la presente resolución, deberán aplicar el P</w:t>
      </w:r>
      <w:r w:rsidRPr="00F7314C">
        <w:rPr>
          <w:rFonts w:ascii="Arial" w:hAnsi="Arial" w:cs="Arial"/>
          <w:i/>
          <w:sz w:val="20"/>
          <w:szCs w:val="20"/>
          <w:vertAlign w:val="subscript"/>
          <w:lang w:val="es-CO"/>
        </w:rPr>
        <w:t>DEA</w:t>
      </w:r>
      <w:r w:rsidRPr="00F7314C">
        <w:rPr>
          <w:rFonts w:ascii="Arial" w:hAnsi="Arial" w:cs="Arial"/>
          <w:i/>
          <w:sz w:val="20"/>
          <w:szCs w:val="20"/>
          <w:lang w:val="es-CO"/>
        </w:rPr>
        <w:t xml:space="preserve"> utilizado para el cálculo de las tarifas de la Resolución CRA 287 de 2004 en la fórmula del presente artículo, hasta tanto la CRA informe mediante resolución si se aplicó el modelo del DEA, los puntajes definitivos así como la fecha a partir de la cual regirán o si los prestadores deberán aplicar lo establecido en los parágrafos 3 o 4 del presente artículo, según corresponda”.</w:t>
      </w:r>
    </w:p>
    <w:p w14:paraId="05557558" w14:textId="77777777" w:rsidR="00AE0150" w:rsidRPr="00F7314C" w:rsidRDefault="00AE0150" w:rsidP="00AE0150">
      <w:pPr>
        <w:spacing w:after="0" w:line="240" w:lineRule="auto"/>
        <w:jc w:val="both"/>
        <w:rPr>
          <w:rFonts w:ascii="Arial" w:hAnsi="Arial" w:cs="Arial"/>
          <w:sz w:val="20"/>
          <w:szCs w:val="20"/>
          <w:lang w:eastAsia="zh-CN"/>
        </w:rPr>
      </w:pPr>
    </w:p>
    <w:p w14:paraId="3A837634" w14:textId="77777777" w:rsidR="00AE0150" w:rsidRPr="00F7314C" w:rsidRDefault="00AE0150" w:rsidP="00AE0150">
      <w:pPr>
        <w:spacing w:after="0" w:line="240" w:lineRule="auto"/>
        <w:jc w:val="both"/>
        <w:rPr>
          <w:rFonts w:ascii="Arial" w:hAnsi="Arial" w:cs="Arial"/>
          <w:i/>
          <w:sz w:val="20"/>
          <w:szCs w:val="20"/>
          <w:lang w:val="es-MX" w:eastAsia="zh-CN"/>
        </w:rPr>
      </w:pPr>
      <w:r w:rsidRPr="00F7314C">
        <w:rPr>
          <w:rFonts w:ascii="Arial" w:hAnsi="Arial" w:cs="Arial"/>
          <w:sz w:val="20"/>
          <w:szCs w:val="20"/>
          <w:lang w:val="es-CO" w:eastAsia="zh-CN"/>
        </w:rPr>
        <w:t>Así mismo, en el numeral 7 del Anexo II</w:t>
      </w:r>
      <w:r w:rsidRPr="007162F2">
        <w:rPr>
          <w:rFonts w:ascii="Arial" w:hAnsi="Arial" w:cs="Arial"/>
          <w:sz w:val="20"/>
          <w:szCs w:val="20"/>
          <w:lang w:val="es-CO" w:eastAsia="es-CO"/>
        </w:rPr>
        <w:t xml:space="preserve"> </w:t>
      </w:r>
      <w:r w:rsidRPr="00F7314C">
        <w:rPr>
          <w:rFonts w:ascii="Arial" w:hAnsi="Arial" w:cs="Arial"/>
          <w:sz w:val="20"/>
          <w:szCs w:val="20"/>
          <w:lang w:val="es-CO" w:eastAsia="es-CO"/>
        </w:rPr>
        <w:t>de la Resolución CRA 688 de 2014</w:t>
      </w:r>
      <w:r w:rsidRPr="00F7314C">
        <w:rPr>
          <w:rFonts w:ascii="Arial" w:hAnsi="Arial" w:cs="Arial"/>
          <w:sz w:val="20"/>
          <w:szCs w:val="20"/>
          <w:lang w:val="es-CO" w:eastAsia="zh-CN"/>
        </w:rPr>
        <w:t>, se estableció el plazo para el reporte de información cargada en el SUI por parte de las personas prestadoras, señalando que “</w:t>
      </w:r>
      <w:r w:rsidRPr="00F7314C">
        <w:rPr>
          <w:rFonts w:ascii="Arial" w:hAnsi="Arial" w:cs="Arial"/>
          <w:i/>
          <w:sz w:val="20"/>
          <w:szCs w:val="20"/>
          <w:lang w:val="es-ES_tradnl"/>
        </w:rPr>
        <w:t xml:space="preserve">Las personas prestadoras de los servicios públicos domiciliarios de acueducto y alcantarillado con APS del primer segmento y aquellas con APS del segundo segmento que opten por aplicar la metodología del primer segmento, </w:t>
      </w:r>
      <w:r w:rsidRPr="00F7314C">
        <w:rPr>
          <w:rFonts w:ascii="Arial" w:hAnsi="Arial" w:cs="Arial"/>
          <w:i/>
          <w:sz w:val="20"/>
          <w:szCs w:val="20"/>
          <w:u w:val="single"/>
          <w:lang w:val="es-ES_tradnl"/>
        </w:rPr>
        <w:t xml:space="preserve">cuentan con un plazo de un (1) mes contado a partir de la publicación en el Diario Oficial de la presente resolución modificatoria de la Resolución CRA 688 de 2014 para revisar la totalidad de la información cargada al SUI descrita anteriormente. </w:t>
      </w:r>
      <w:r w:rsidRPr="00F7314C">
        <w:rPr>
          <w:rFonts w:ascii="Arial" w:hAnsi="Arial" w:cs="Arial"/>
          <w:i/>
          <w:sz w:val="20"/>
          <w:szCs w:val="20"/>
          <w:lang w:val="es-ES_tradnl"/>
        </w:rPr>
        <w:t>Una vez vencido este plazo de un (1) mes la SSPD enviará un archivo Excel con el reporte de costos administrativos y operativos comparables para los años 2013 y 2014. Dicha información deberá ser remitida mediante comunicación suscrita por el representante legal de la empresa en un plazo de cinco (5) días hábiles contados a partir de la fecha de recibo del archivo Excel.”</w:t>
      </w:r>
      <w:r w:rsidRPr="00F7314C">
        <w:rPr>
          <w:rFonts w:ascii="Arial" w:hAnsi="Arial" w:cs="Arial"/>
          <w:sz w:val="20"/>
          <w:szCs w:val="20"/>
          <w:lang w:val="es-ES_tradnl"/>
        </w:rPr>
        <w:t xml:space="preserve"> (Subrayado fuera de texto original).</w:t>
      </w:r>
    </w:p>
    <w:p w14:paraId="605A7C6F" w14:textId="77777777" w:rsidR="00AE0150" w:rsidRPr="00F7314C" w:rsidRDefault="00AE0150" w:rsidP="00AE0150">
      <w:pPr>
        <w:spacing w:after="0" w:line="240" w:lineRule="auto"/>
        <w:ind w:left="851" w:right="851"/>
        <w:jc w:val="both"/>
        <w:rPr>
          <w:rFonts w:ascii="Arial" w:hAnsi="Arial" w:cs="Arial"/>
          <w:i/>
          <w:sz w:val="20"/>
          <w:szCs w:val="20"/>
          <w:lang w:val="es-MX" w:eastAsia="zh-CN"/>
        </w:rPr>
      </w:pPr>
    </w:p>
    <w:p w14:paraId="0A649C79" w14:textId="77777777" w:rsidR="00AE0150" w:rsidRPr="00F7314C" w:rsidRDefault="00AE0150" w:rsidP="00AE0150">
      <w:pPr>
        <w:tabs>
          <w:tab w:val="left" w:pos="2850"/>
        </w:tabs>
        <w:spacing w:after="0" w:line="240" w:lineRule="auto"/>
        <w:ind w:right="18"/>
        <w:jc w:val="both"/>
        <w:rPr>
          <w:rFonts w:ascii="Arial" w:hAnsi="Arial" w:cs="Arial"/>
          <w:sz w:val="20"/>
          <w:szCs w:val="20"/>
          <w:lang w:eastAsia="zh-CN"/>
        </w:rPr>
      </w:pPr>
      <w:r w:rsidRPr="00F7314C">
        <w:rPr>
          <w:rFonts w:ascii="Arial" w:hAnsi="Arial" w:cs="Arial"/>
          <w:sz w:val="20"/>
          <w:szCs w:val="20"/>
          <w:lang w:eastAsia="zh-CN"/>
        </w:rPr>
        <w:t xml:space="preserve">Este plazo se contabilizó a partir del 18 de diciembre de 2015, fecha de publicación en el Diario Oficial No. 49.730 de la Resolución CRA 735 de 2015, </w:t>
      </w:r>
      <w:r>
        <w:rPr>
          <w:rFonts w:ascii="Arial" w:hAnsi="Arial" w:cs="Arial"/>
          <w:sz w:val="20"/>
          <w:szCs w:val="20"/>
          <w:lang w:eastAsia="zh-CN"/>
        </w:rPr>
        <w:t>expedida el</w:t>
      </w:r>
      <w:r w:rsidRPr="00F7314C">
        <w:rPr>
          <w:rFonts w:ascii="Arial" w:hAnsi="Arial" w:cs="Arial"/>
          <w:sz w:val="20"/>
          <w:szCs w:val="20"/>
          <w:lang w:val="es-MX" w:eastAsia="zh-CN"/>
        </w:rPr>
        <w:t xml:space="preserve"> 9 de diciembre del año 2015</w:t>
      </w:r>
      <w:r w:rsidRPr="00F7314C">
        <w:rPr>
          <w:rFonts w:ascii="Arial" w:hAnsi="Arial" w:cs="Arial"/>
          <w:sz w:val="20"/>
          <w:szCs w:val="20"/>
          <w:lang w:eastAsia="zh-CN"/>
        </w:rPr>
        <w:t>; y en razón a lo anterior, dicho plaz</w:t>
      </w:r>
      <w:r>
        <w:rPr>
          <w:rFonts w:ascii="Arial" w:hAnsi="Arial" w:cs="Arial"/>
          <w:sz w:val="20"/>
          <w:szCs w:val="20"/>
          <w:lang w:eastAsia="zh-CN"/>
        </w:rPr>
        <w:t>o venció el 18 de enero de 2016</w:t>
      </w:r>
      <w:r w:rsidRPr="00F7314C">
        <w:rPr>
          <w:rFonts w:ascii="Arial" w:hAnsi="Arial" w:cs="Arial"/>
          <w:sz w:val="20"/>
          <w:szCs w:val="20"/>
          <w:lang w:eastAsia="zh-CN"/>
        </w:rPr>
        <w:t>.</w:t>
      </w:r>
    </w:p>
    <w:p w14:paraId="50D381E2" w14:textId="77777777" w:rsidR="00AE0150" w:rsidRPr="00F7314C" w:rsidRDefault="00AE0150" w:rsidP="00AE0150">
      <w:pPr>
        <w:tabs>
          <w:tab w:val="left" w:pos="2850"/>
        </w:tabs>
        <w:spacing w:after="0" w:line="240" w:lineRule="auto"/>
        <w:ind w:right="18"/>
        <w:jc w:val="both"/>
        <w:rPr>
          <w:rFonts w:ascii="Arial" w:hAnsi="Arial" w:cs="Arial"/>
          <w:sz w:val="20"/>
          <w:szCs w:val="20"/>
          <w:lang w:eastAsia="zh-CN"/>
        </w:rPr>
      </w:pPr>
    </w:p>
    <w:p w14:paraId="5D2A9038" w14:textId="77777777" w:rsidR="00AE0150" w:rsidRPr="00F7314C" w:rsidRDefault="00AE0150" w:rsidP="00AE0150">
      <w:pPr>
        <w:spacing w:after="0" w:line="240" w:lineRule="auto"/>
        <w:jc w:val="both"/>
        <w:rPr>
          <w:rFonts w:ascii="Arial" w:hAnsi="Arial" w:cs="Arial"/>
          <w:sz w:val="20"/>
          <w:szCs w:val="20"/>
          <w:lang w:val="es-MX" w:eastAsia="zh-CN"/>
        </w:rPr>
      </w:pPr>
      <w:r w:rsidRPr="00F7314C">
        <w:rPr>
          <w:rFonts w:ascii="Arial" w:hAnsi="Arial" w:cs="Arial"/>
          <w:sz w:val="20"/>
          <w:szCs w:val="20"/>
          <w:lang w:val="es-MX" w:eastAsia="zh-CN"/>
        </w:rPr>
        <w:t xml:space="preserve">De igual forma, </w:t>
      </w:r>
      <w:r>
        <w:rPr>
          <w:rFonts w:ascii="Arial" w:hAnsi="Arial" w:cs="Arial"/>
          <w:sz w:val="20"/>
          <w:szCs w:val="20"/>
          <w:lang w:val="es-MX" w:eastAsia="zh-CN"/>
        </w:rPr>
        <w:t>por medio d</w:t>
      </w:r>
      <w:r w:rsidRPr="00F7314C">
        <w:rPr>
          <w:rFonts w:ascii="Arial" w:hAnsi="Arial" w:cs="Arial"/>
          <w:sz w:val="20"/>
          <w:szCs w:val="20"/>
          <w:lang w:val="es-MX" w:eastAsia="zh-CN"/>
        </w:rPr>
        <w:t>el parágrafo 3</w:t>
      </w:r>
      <w:r w:rsidRPr="00F7314C">
        <w:rPr>
          <w:rFonts w:ascii="Arial" w:hAnsi="Arial" w:cs="Arial"/>
          <w:sz w:val="20"/>
          <w:szCs w:val="20"/>
          <w:vertAlign w:val="superscript"/>
          <w:lang w:val="es-MX" w:eastAsia="zh-CN"/>
        </w:rPr>
        <w:footnoteReference w:id="28"/>
      </w:r>
      <w:r w:rsidRPr="00F7314C">
        <w:rPr>
          <w:rFonts w:ascii="Arial" w:hAnsi="Arial" w:cs="Arial"/>
          <w:sz w:val="20"/>
          <w:szCs w:val="20"/>
          <w:lang w:val="es-MX" w:eastAsia="zh-CN"/>
        </w:rPr>
        <w:t xml:space="preserve"> de los artículos 26 y 33 de la Resolución CRA 688 de 2014, se indicó que la CRA evaluaría la información reportada por las personas prestadoras relacionadas en el numeral 8 del Anexo II de la</w:t>
      </w:r>
      <w:r>
        <w:rPr>
          <w:rFonts w:ascii="Arial" w:hAnsi="Arial" w:cs="Arial"/>
          <w:sz w:val="20"/>
          <w:szCs w:val="20"/>
          <w:lang w:val="es-MX" w:eastAsia="zh-CN"/>
        </w:rPr>
        <w:t xml:space="preserve"> misma resolución</w:t>
      </w:r>
      <w:r w:rsidRPr="00F7314C">
        <w:rPr>
          <w:rFonts w:ascii="Arial" w:hAnsi="Arial" w:cs="Arial"/>
          <w:sz w:val="20"/>
          <w:szCs w:val="20"/>
          <w:lang w:val="es-MX" w:eastAsia="zh-CN"/>
        </w:rPr>
        <w:t>, con el fin de determinar el cumplimiento en el año base de los parámetros mínimos para la inclusión en el modelo y la no presentación de datos atípicos en la información reportada en el SUI para la serie de tiempo 2010</w:t>
      </w:r>
      <w:r>
        <w:rPr>
          <w:rFonts w:ascii="Arial" w:hAnsi="Arial" w:cs="Arial"/>
          <w:sz w:val="20"/>
          <w:szCs w:val="20"/>
          <w:lang w:val="es-MX" w:eastAsia="zh-CN"/>
        </w:rPr>
        <w:t xml:space="preserve"> </w:t>
      </w:r>
      <w:r w:rsidRPr="00F7314C">
        <w:rPr>
          <w:rFonts w:ascii="Arial" w:hAnsi="Arial" w:cs="Arial"/>
          <w:sz w:val="20"/>
          <w:szCs w:val="20"/>
          <w:lang w:val="es-MX" w:eastAsia="zh-CN"/>
        </w:rPr>
        <w:t>-</w:t>
      </w:r>
      <w:r>
        <w:rPr>
          <w:rFonts w:ascii="Arial" w:hAnsi="Arial" w:cs="Arial"/>
          <w:sz w:val="20"/>
          <w:szCs w:val="20"/>
          <w:lang w:val="es-MX" w:eastAsia="zh-CN"/>
        </w:rPr>
        <w:t xml:space="preserve"> </w:t>
      </w:r>
      <w:r w:rsidRPr="00F7314C">
        <w:rPr>
          <w:rFonts w:ascii="Arial" w:hAnsi="Arial" w:cs="Arial"/>
          <w:sz w:val="20"/>
          <w:szCs w:val="20"/>
          <w:lang w:val="es-MX" w:eastAsia="zh-CN"/>
        </w:rPr>
        <w:t>2014.</w:t>
      </w:r>
    </w:p>
    <w:p w14:paraId="44EB9B5F" w14:textId="77777777" w:rsidR="00AE0150" w:rsidRPr="00F7314C" w:rsidRDefault="00AE0150" w:rsidP="00AE0150">
      <w:pPr>
        <w:spacing w:after="0" w:line="240" w:lineRule="auto"/>
        <w:jc w:val="both"/>
        <w:rPr>
          <w:rFonts w:ascii="Arial" w:hAnsi="Arial" w:cs="Arial"/>
          <w:sz w:val="20"/>
          <w:szCs w:val="20"/>
          <w:lang w:val="es-MX" w:eastAsia="zh-CN"/>
        </w:rPr>
      </w:pPr>
    </w:p>
    <w:p w14:paraId="1DB45BFD" w14:textId="77777777" w:rsidR="00AE0150" w:rsidRPr="00F7314C" w:rsidRDefault="00AE0150" w:rsidP="00AE0150">
      <w:pPr>
        <w:spacing w:after="0" w:line="240" w:lineRule="auto"/>
        <w:jc w:val="both"/>
        <w:rPr>
          <w:rFonts w:ascii="Arial" w:hAnsi="Arial" w:cs="Arial"/>
          <w:sz w:val="20"/>
          <w:szCs w:val="20"/>
          <w:lang w:val="es-MX" w:eastAsia="zh-CN"/>
        </w:rPr>
      </w:pPr>
      <w:r>
        <w:rPr>
          <w:rFonts w:ascii="Arial" w:hAnsi="Arial" w:cs="Arial"/>
          <w:sz w:val="20"/>
          <w:szCs w:val="20"/>
          <w:lang w:val="es-MX" w:eastAsia="zh-CN"/>
        </w:rPr>
        <w:t xml:space="preserve">En </w:t>
      </w:r>
      <w:r w:rsidRPr="00F7314C">
        <w:rPr>
          <w:rFonts w:ascii="Arial" w:hAnsi="Arial" w:cs="Arial"/>
          <w:sz w:val="20"/>
          <w:szCs w:val="20"/>
          <w:lang w:val="es-MX" w:eastAsia="zh-CN"/>
        </w:rPr>
        <w:t>el mismo parágrafo también se estableció que si el análisis indicaba que cinco (5) o más personas prestadoras cumplían con dichos requerimientos, se realizaría el cálculo del P</w:t>
      </w:r>
      <w:r w:rsidRPr="00F7314C">
        <w:rPr>
          <w:rFonts w:ascii="Arial" w:hAnsi="Arial" w:cs="Arial"/>
          <w:sz w:val="20"/>
          <w:szCs w:val="20"/>
          <w:vertAlign w:val="subscript"/>
          <w:lang w:val="es-MX" w:eastAsia="zh-CN"/>
        </w:rPr>
        <w:t>DEA</w:t>
      </w:r>
      <w:r w:rsidRPr="00F7314C">
        <w:rPr>
          <w:rFonts w:ascii="Arial" w:hAnsi="Arial" w:cs="Arial"/>
          <w:sz w:val="20"/>
          <w:szCs w:val="20"/>
          <w:lang w:val="es-MX" w:eastAsia="zh-CN"/>
        </w:rPr>
        <w:t xml:space="preserve"> y estas constituirán el grupo básico para dicho cálculo. Si sólo entre una (1) y cuatro (4) personas prestadoras daban por satisfechos los requisitos de información, no se aplicaría la metodología del DEA; a éstas se les otorgaría un P</w:t>
      </w:r>
      <w:r w:rsidRPr="00F7314C">
        <w:rPr>
          <w:rFonts w:ascii="Arial" w:hAnsi="Arial" w:cs="Arial"/>
          <w:sz w:val="20"/>
          <w:szCs w:val="20"/>
          <w:vertAlign w:val="subscript"/>
          <w:lang w:val="es-MX" w:eastAsia="zh-CN"/>
        </w:rPr>
        <w:t>DEA</w:t>
      </w:r>
      <w:r w:rsidRPr="00F7314C">
        <w:rPr>
          <w:rFonts w:ascii="Arial" w:hAnsi="Arial" w:cs="Arial"/>
          <w:sz w:val="20"/>
          <w:szCs w:val="20"/>
          <w:lang w:val="es-MX" w:eastAsia="zh-CN"/>
        </w:rPr>
        <w:t xml:space="preserve"> del 100% y los menores costos administrativos y operativos comparables eficientes estándar por suscriptor mensual (CAU* y COU*) resultante de ellas, sería aplicado por las demás personas prestadoras que cuenten con APS en las que apliquen la metodología del primer segmento.</w:t>
      </w:r>
    </w:p>
    <w:p w14:paraId="2B39AF89" w14:textId="77777777" w:rsidR="00AE0150" w:rsidRDefault="00AE0150" w:rsidP="00684B6B">
      <w:pPr>
        <w:spacing w:after="0" w:line="240" w:lineRule="auto"/>
        <w:jc w:val="both"/>
        <w:rPr>
          <w:rFonts w:ascii="Arial" w:hAnsi="Arial" w:cs="Arial"/>
          <w:sz w:val="20"/>
          <w:szCs w:val="20"/>
          <w:lang w:val="es-CO"/>
        </w:rPr>
      </w:pPr>
    </w:p>
    <w:p w14:paraId="5F0FDE34" w14:textId="77777777" w:rsidR="00684B6B" w:rsidRDefault="00932E91" w:rsidP="00684B6B">
      <w:pPr>
        <w:spacing w:after="0" w:line="240" w:lineRule="auto"/>
        <w:jc w:val="both"/>
        <w:rPr>
          <w:rFonts w:ascii="Arial" w:hAnsi="Arial" w:cs="Arial"/>
          <w:sz w:val="20"/>
          <w:szCs w:val="20"/>
        </w:rPr>
      </w:pPr>
      <w:r w:rsidRPr="00F7314C">
        <w:rPr>
          <w:rFonts w:ascii="Arial" w:hAnsi="Arial" w:cs="Arial"/>
          <w:sz w:val="20"/>
          <w:szCs w:val="20"/>
          <w:lang w:val="es-CO"/>
        </w:rPr>
        <w:t xml:space="preserve">Para </w:t>
      </w:r>
      <w:r w:rsidRPr="00F7314C">
        <w:rPr>
          <w:rFonts w:ascii="Arial" w:hAnsi="Arial" w:cs="Arial"/>
          <w:sz w:val="20"/>
          <w:szCs w:val="20"/>
        </w:rPr>
        <w:t xml:space="preserve">determinar la consistencia de la información reportada al SUI para el período 2010 - 2014 y como se explicó en la página 83 del documento de respuestas a las observaciones recibidas en el proceso de participación ciudadana de la Resolución CRA 712 de 2015, esta Comisión de Regulación revisó la existencia de datos atípicos, a través de un análisis de dispersión (caja de bigotes), es decir, </w:t>
      </w:r>
      <w:r w:rsidRPr="00F7314C">
        <w:rPr>
          <w:rFonts w:ascii="Arial" w:hAnsi="Arial" w:cs="Arial"/>
          <w:sz w:val="20"/>
          <w:szCs w:val="20"/>
          <w:lang w:val="es-CO" w:eastAsia="es-CO"/>
        </w:rPr>
        <w:t>aquellos datos que estaban por fuera del percentil 25 menos 1,5 veces el rango intercuartílico y del percentil 75 más 1,5 veces el rango intercuartílico, se calificaron como atípicos</w:t>
      </w:r>
      <w:r w:rsidRPr="00F7314C">
        <w:rPr>
          <w:rStyle w:val="Refdenotaalpie"/>
          <w:rFonts w:ascii="Arial" w:hAnsi="Arial" w:cs="Arial"/>
          <w:lang w:val="es-CO" w:eastAsia="es-CO"/>
        </w:rPr>
        <w:footnoteReference w:id="29"/>
      </w:r>
      <w:r w:rsidRPr="00F7314C">
        <w:rPr>
          <w:rFonts w:ascii="Arial" w:hAnsi="Arial" w:cs="Arial"/>
          <w:sz w:val="20"/>
          <w:szCs w:val="20"/>
          <w:lang w:val="es-CO" w:eastAsia="es-CO"/>
        </w:rPr>
        <w:t>.</w:t>
      </w:r>
      <w:r w:rsidRPr="00F7314C">
        <w:rPr>
          <w:rFonts w:ascii="Arial" w:hAnsi="Arial" w:cs="Arial"/>
          <w:i/>
          <w:sz w:val="20"/>
          <w:szCs w:val="20"/>
          <w:lang w:val="es-CO" w:eastAsia="es-CO"/>
        </w:rPr>
        <w:t xml:space="preserve"> </w:t>
      </w:r>
      <w:r w:rsidRPr="00F7314C">
        <w:rPr>
          <w:rFonts w:ascii="Arial" w:hAnsi="Arial" w:cs="Arial"/>
          <w:sz w:val="20"/>
          <w:szCs w:val="20"/>
        </w:rPr>
        <w:t>Este criterio es concordante con la existencia de pocos datos sujetos de análisis y con la especificación del modelo de eficiencia comparativa DEA, pues el mismo es no paramétrico, de modo que no supone una distribución específica de los datos. Adicionalmente</w:t>
      </w:r>
      <w:r w:rsidRPr="00F7314C">
        <w:rPr>
          <w:rFonts w:ascii="Arial" w:hAnsi="Arial" w:cs="Arial"/>
          <w:sz w:val="20"/>
          <w:szCs w:val="20"/>
          <w:lang w:val="es-CO" w:eastAsia="es-CO"/>
        </w:rPr>
        <w:t>, se consideró que el no reporte de información en uno de los años de la serie configuraba un reporte insatisfactorio.</w:t>
      </w:r>
      <w:r w:rsidRPr="00F7314C" w:rsidDel="002C597C">
        <w:rPr>
          <w:rFonts w:ascii="Arial" w:hAnsi="Arial" w:cs="Arial"/>
          <w:sz w:val="20"/>
          <w:szCs w:val="20"/>
          <w:lang w:val="es-CO" w:eastAsia="es-CO"/>
        </w:rPr>
        <w:t xml:space="preserve"> </w:t>
      </w:r>
      <w:r w:rsidR="00684B6B">
        <w:rPr>
          <w:rFonts w:ascii="Arial" w:hAnsi="Arial" w:cs="Arial"/>
          <w:sz w:val="20"/>
          <w:szCs w:val="20"/>
        </w:rPr>
        <w:t xml:space="preserve">Así mismo, </w:t>
      </w:r>
      <w:r w:rsidR="00684B6B" w:rsidRPr="003C4A91">
        <w:rPr>
          <w:rFonts w:ascii="Arial" w:hAnsi="Arial" w:cs="Arial"/>
          <w:sz w:val="20"/>
          <w:szCs w:val="20"/>
        </w:rPr>
        <w:t>en el Anexo II de la Resolución CRA 688 de 2014, se estableció que los datos atípicos por errores de digitación se consideraban datos no justificables.</w:t>
      </w:r>
    </w:p>
    <w:p w14:paraId="7ECC5D02" w14:textId="77777777" w:rsidR="00932E91" w:rsidRPr="00F7314C" w:rsidRDefault="00932E91" w:rsidP="00932E91">
      <w:pPr>
        <w:spacing w:after="0" w:line="240" w:lineRule="auto"/>
        <w:ind w:right="49"/>
        <w:jc w:val="both"/>
        <w:rPr>
          <w:rFonts w:ascii="Arial" w:hAnsi="Arial" w:cs="Arial"/>
          <w:i/>
          <w:sz w:val="20"/>
          <w:szCs w:val="20"/>
          <w:lang w:val="es-CO" w:eastAsia="es-CO"/>
        </w:rPr>
      </w:pPr>
    </w:p>
    <w:p w14:paraId="01191A0E" w14:textId="77777777" w:rsidR="00932E91" w:rsidRPr="00F7314C" w:rsidRDefault="00932E91" w:rsidP="00932E91">
      <w:pPr>
        <w:spacing w:after="0" w:line="240" w:lineRule="auto"/>
        <w:jc w:val="both"/>
        <w:rPr>
          <w:rFonts w:ascii="Arial" w:hAnsi="Arial" w:cs="Arial"/>
          <w:sz w:val="20"/>
          <w:szCs w:val="20"/>
          <w:lang w:val="es-MX" w:eastAsia="zh-CN"/>
        </w:rPr>
      </w:pPr>
      <w:r w:rsidRPr="00F7314C">
        <w:rPr>
          <w:rFonts w:ascii="Arial" w:hAnsi="Arial" w:cs="Arial"/>
          <w:sz w:val="20"/>
          <w:szCs w:val="20"/>
          <w:lang w:val="es-MX" w:eastAsia="zh-CN"/>
        </w:rPr>
        <w:t xml:space="preserve">En razón de lo anterior, una vez vencido el plazo señalado anteriormente esta Comisión de Regulación solicitó a la Superintendencia de Servicios Públicos Domiciliarios </w:t>
      </w:r>
      <w:r>
        <w:rPr>
          <w:rFonts w:ascii="Arial" w:hAnsi="Arial" w:cs="Arial"/>
          <w:sz w:val="20"/>
          <w:szCs w:val="20"/>
          <w:lang w:val="es-MX" w:eastAsia="zh-CN"/>
        </w:rPr>
        <w:t>-</w:t>
      </w:r>
      <w:r w:rsidRPr="00F7314C">
        <w:rPr>
          <w:rFonts w:ascii="Arial" w:hAnsi="Arial" w:cs="Arial"/>
          <w:sz w:val="20"/>
          <w:szCs w:val="20"/>
          <w:lang w:val="es-MX" w:eastAsia="zh-CN"/>
        </w:rPr>
        <w:t xml:space="preserve"> SSPD el envío de la información cargada por los prestadores con APS del primer segmento al SUI, información que fue recibida mediante comunicación con radicado CRA 2016-321-001312-2 de 19 de febrero de 2016, una vez la Superintendencia dio por finalizados los trámites de reversión solicitados por las empresas.</w:t>
      </w:r>
    </w:p>
    <w:p w14:paraId="3B09362C" w14:textId="77777777" w:rsidR="00932E91" w:rsidRPr="00F7314C" w:rsidRDefault="00932E91" w:rsidP="00932E91">
      <w:pPr>
        <w:spacing w:after="0" w:line="240" w:lineRule="auto"/>
        <w:jc w:val="both"/>
        <w:rPr>
          <w:rFonts w:ascii="Arial" w:hAnsi="Arial" w:cs="Arial"/>
          <w:sz w:val="20"/>
          <w:szCs w:val="20"/>
          <w:lang w:val="es-MX" w:eastAsia="zh-CN"/>
        </w:rPr>
      </w:pPr>
    </w:p>
    <w:p w14:paraId="6B6FFA78" w14:textId="77777777" w:rsidR="00932E91" w:rsidRPr="00F7314C" w:rsidRDefault="00932E91" w:rsidP="00932E91">
      <w:pPr>
        <w:spacing w:after="0" w:line="240" w:lineRule="auto"/>
        <w:jc w:val="both"/>
        <w:rPr>
          <w:rFonts w:ascii="Arial" w:hAnsi="Arial" w:cs="Arial"/>
          <w:sz w:val="20"/>
          <w:szCs w:val="20"/>
          <w:lang w:val="es-MX" w:eastAsia="zh-CN"/>
        </w:rPr>
      </w:pPr>
      <w:r w:rsidRPr="00F7314C">
        <w:rPr>
          <w:rFonts w:ascii="Arial" w:hAnsi="Arial" w:cs="Arial"/>
          <w:sz w:val="20"/>
          <w:szCs w:val="20"/>
          <w:lang w:val="es-MX" w:eastAsia="zh-CN"/>
        </w:rPr>
        <w:t>Con base en la información remitida por la S</w:t>
      </w:r>
      <w:r>
        <w:rPr>
          <w:rFonts w:ascii="Arial" w:hAnsi="Arial" w:cs="Arial"/>
          <w:sz w:val="20"/>
          <w:szCs w:val="20"/>
          <w:lang w:val="es-MX" w:eastAsia="zh-CN"/>
        </w:rPr>
        <w:t>uperintendencia</w:t>
      </w:r>
      <w:r w:rsidRPr="00F7314C">
        <w:rPr>
          <w:rFonts w:ascii="Arial" w:hAnsi="Arial" w:cs="Arial"/>
          <w:sz w:val="20"/>
          <w:szCs w:val="20"/>
          <w:lang w:val="es-MX" w:eastAsia="zh-CN"/>
        </w:rPr>
        <w:t xml:space="preserve">, la CRA surtió el proceso de revisión y análisis de la información cargada al Sistema Único de Información </w:t>
      </w:r>
      <w:r>
        <w:rPr>
          <w:rFonts w:ascii="Arial" w:hAnsi="Arial" w:cs="Arial"/>
          <w:sz w:val="20"/>
          <w:szCs w:val="20"/>
          <w:lang w:val="es-MX" w:eastAsia="zh-CN"/>
        </w:rPr>
        <w:t>-</w:t>
      </w:r>
      <w:r w:rsidRPr="00F7314C">
        <w:rPr>
          <w:rFonts w:ascii="Arial" w:hAnsi="Arial" w:cs="Arial"/>
          <w:sz w:val="20"/>
          <w:szCs w:val="20"/>
          <w:lang w:val="es-MX" w:eastAsia="zh-CN"/>
        </w:rPr>
        <w:t xml:space="preserve"> SUI, concluyendo que ninguna de las personas prestadoras listadas en el numeral 8 del Anexo II de la Resolución CRA 688 de 2014, cumplía con los parámetros mínimos de inclusión y con la no presentación de datos atípicos en la información reportada para la serie de tiempo 2010 </w:t>
      </w:r>
      <w:r>
        <w:rPr>
          <w:rFonts w:ascii="Arial" w:hAnsi="Arial" w:cs="Arial"/>
          <w:sz w:val="20"/>
          <w:szCs w:val="20"/>
          <w:lang w:val="es-MX" w:eastAsia="zh-CN"/>
        </w:rPr>
        <w:t>– 2014.</w:t>
      </w:r>
    </w:p>
    <w:p w14:paraId="41E8B3A5" w14:textId="77777777" w:rsidR="00932E91" w:rsidRPr="00F7314C" w:rsidRDefault="00932E91" w:rsidP="00932E91">
      <w:pPr>
        <w:spacing w:after="0" w:line="240" w:lineRule="auto"/>
        <w:jc w:val="both"/>
        <w:rPr>
          <w:rFonts w:ascii="Arial" w:hAnsi="Arial" w:cs="Arial"/>
          <w:sz w:val="20"/>
          <w:szCs w:val="20"/>
          <w:lang w:val="es-MX" w:eastAsia="zh-CN"/>
        </w:rPr>
      </w:pPr>
    </w:p>
    <w:p w14:paraId="1740AA12" w14:textId="77777777" w:rsidR="00932E91" w:rsidRPr="00F7314C" w:rsidRDefault="00932E91" w:rsidP="00932E91">
      <w:pPr>
        <w:pStyle w:val="Textocomentario"/>
        <w:spacing w:after="0" w:line="240" w:lineRule="auto"/>
        <w:jc w:val="both"/>
        <w:rPr>
          <w:rFonts w:ascii="Arial" w:hAnsi="Arial" w:cs="Arial"/>
          <w:lang w:val="es-CO"/>
        </w:rPr>
      </w:pPr>
      <w:r>
        <w:rPr>
          <w:rFonts w:ascii="Arial" w:hAnsi="Arial" w:cs="Arial"/>
          <w:lang w:val="es-CO"/>
        </w:rPr>
        <w:t>T</w:t>
      </w:r>
      <w:r w:rsidRPr="00F7314C">
        <w:rPr>
          <w:rFonts w:ascii="Arial" w:hAnsi="Arial" w:cs="Arial"/>
          <w:lang w:val="es-CO"/>
        </w:rPr>
        <w:t>eniendo en cuenta que el modelo DEA se considera la mejor herramienta disponible para la medición de la eficiencia comparativa, y dado que la información reportada por los prestadores no cumplía con los requisitos y parámetros solicitados</w:t>
      </w:r>
      <w:r w:rsidRPr="00F7314C">
        <w:rPr>
          <w:rFonts w:ascii="Arial" w:hAnsi="Arial" w:cs="Arial"/>
          <w:lang w:val="es-CO" w:eastAsia="zh-CN"/>
        </w:rPr>
        <w:t xml:space="preserve"> para </w:t>
      </w:r>
      <w:r w:rsidRPr="00F7314C">
        <w:rPr>
          <w:rFonts w:ascii="Arial" w:hAnsi="Arial" w:cs="Arial"/>
        </w:rPr>
        <w:t xml:space="preserve">determinar el </w:t>
      </w:r>
      <w:r>
        <w:rPr>
          <w:rFonts w:ascii="Arial" w:hAnsi="Arial" w:cs="Arial"/>
        </w:rPr>
        <w:t>P</w:t>
      </w:r>
      <w:r w:rsidRPr="00F7314C">
        <w:rPr>
          <w:rFonts w:ascii="Arial" w:hAnsi="Arial" w:cs="Arial"/>
        </w:rPr>
        <w:t xml:space="preserve">untaje de </w:t>
      </w:r>
      <w:r>
        <w:rPr>
          <w:rFonts w:ascii="Arial" w:hAnsi="Arial" w:cs="Arial"/>
        </w:rPr>
        <w:t>E</w:t>
      </w:r>
      <w:r w:rsidRPr="00F7314C">
        <w:rPr>
          <w:rFonts w:ascii="Arial" w:hAnsi="Arial" w:cs="Arial"/>
        </w:rPr>
        <w:t xml:space="preserve">ficiencia </w:t>
      </w:r>
      <w:r>
        <w:rPr>
          <w:rFonts w:ascii="Arial" w:hAnsi="Arial" w:cs="Arial"/>
        </w:rPr>
        <w:t>C</w:t>
      </w:r>
      <w:r w:rsidRPr="00F7314C">
        <w:rPr>
          <w:rFonts w:ascii="Arial" w:hAnsi="Arial" w:cs="Arial"/>
        </w:rPr>
        <w:t>omparativa</w:t>
      </w:r>
      <w:r>
        <w:rPr>
          <w:rFonts w:ascii="Arial" w:hAnsi="Arial" w:cs="Arial"/>
        </w:rPr>
        <w:t xml:space="preserve"> DEA -</w:t>
      </w:r>
      <w:r w:rsidRPr="00F7314C">
        <w:rPr>
          <w:rFonts w:ascii="Arial" w:hAnsi="Arial" w:cs="Arial"/>
          <w:i/>
        </w:rPr>
        <w:t xml:space="preserve"> </w:t>
      </w:r>
      <w:r w:rsidRPr="00A7520D">
        <w:rPr>
          <w:rFonts w:ascii="Arial" w:hAnsi="Arial" w:cs="Arial"/>
        </w:rPr>
        <w:t>P</w:t>
      </w:r>
      <w:r w:rsidRPr="00A7520D">
        <w:rPr>
          <w:rFonts w:ascii="Arial" w:hAnsi="Arial" w:cs="Arial"/>
          <w:vertAlign w:val="subscript"/>
        </w:rPr>
        <w:t>DEA</w:t>
      </w:r>
      <w:r w:rsidRPr="00F7314C">
        <w:rPr>
          <w:rFonts w:ascii="Arial" w:hAnsi="Arial" w:cs="Arial"/>
          <w:i/>
        </w:rPr>
        <w:t xml:space="preserve"> </w:t>
      </w:r>
      <w:r w:rsidRPr="00F7314C">
        <w:rPr>
          <w:rFonts w:ascii="Arial" w:hAnsi="Arial" w:cs="Arial"/>
        </w:rPr>
        <w:t xml:space="preserve">de los costos administrativos y operativos comparables, fue necesario </w:t>
      </w:r>
      <w:r w:rsidRPr="00F7314C">
        <w:rPr>
          <w:rFonts w:ascii="Arial" w:hAnsi="Arial" w:cs="Arial"/>
          <w:lang w:val="es-CO" w:eastAsia="zh-CN"/>
        </w:rPr>
        <w:t>que las</w:t>
      </w:r>
      <w:r w:rsidRPr="00F7314C">
        <w:rPr>
          <w:rFonts w:ascii="Arial" w:hAnsi="Arial" w:cs="Arial"/>
          <w:lang w:val="es-MX" w:eastAsia="zh-CN"/>
        </w:rPr>
        <w:t xml:space="preserve"> personas prestadoras completaran la totalidad de los mismos. </w:t>
      </w:r>
      <w:r w:rsidRPr="00F7314C">
        <w:rPr>
          <w:rFonts w:ascii="Arial" w:hAnsi="Arial" w:cs="Arial"/>
          <w:lang w:val="es-CO"/>
        </w:rPr>
        <w:t xml:space="preserve">Por lo anterior, se consideró pertinente </w:t>
      </w:r>
      <w:r w:rsidRPr="00F7314C">
        <w:rPr>
          <w:rFonts w:ascii="Arial" w:hAnsi="Arial" w:cs="Arial"/>
          <w:lang w:val="es-MX" w:eastAsia="zh-CN"/>
        </w:rPr>
        <w:t xml:space="preserve">ampliar el plazo establecido en el </w:t>
      </w:r>
      <w:r w:rsidRPr="00F7314C">
        <w:rPr>
          <w:rFonts w:ascii="Arial" w:hAnsi="Arial" w:cs="Arial"/>
          <w:lang w:val="es-CO" w:eastAsia="zh-CN"/>
        </w:rPr>
        <w:t xml:space="preserve">numeral 7 del Anexo II </w:t>
      </w:r>
      <w:r>
        <w:rPr>
          <w:rFonts w:ascii="Arial" w:hAnsi="Arial" w:cs="Arial"/>
          <w:lang w:val="es-CO" w:eastAsia="zh-CN"/>
        </w:rPr>
        <w:t>ibídem,</w:t>
      </w:r>
      <w:r w:rsidRPr="00F7314C">
        <w:rPr>
          <w:rFonts w:ascii="Arial" w:hAnsi="Arial" w:cs="Arial"/>
          <w:lang w:val="es-CO" w:eastAsia="zh-CN"/>
        </w:rPr>
        <w:t xml:space="preserve"> hasta el 1 de noviembre del año 2016, </w:t>
      </w:r>
      <w:r w:rsidRPr="00F7314C">
        <w:rPr>
          <w:rFonts w:ascii="Arial" w:hAnsi="Arial" w:cs="Arial"/>
          <w:lang w:val="es-MX" w:eastAsia="zh-CN"/>
        </w:rPr>
        <w:t xml:space="preserve">para que las personas prestadoras revisaran y realizaran </w:t>
      </w:r>
      <w:r w:rsidRPr="00F7314C">
        <w:rPr>
          <w:rFonts w:ascii="Arial" w:hAnsi="Arial" w:cs="Arial"/>
          <w:lang w:val="es-CO" w:eastAsia="zh-CN"/>
        </w:rPr>
        <w:t xml:space="preserve">los ajustes a que hubiera lugar de </w:t>
      </w:r>
      <w:r w:rsidRPr="00F7314C">
        <w:rPr>
          <w:rFonts w:ascii="Arial" w:hAnsi="Arial" w:cs="Arial"/>
          <w:lang w:val="es-MX" w:eastAsia="zh-CN"/>
        </w:rPr>
        <w:t>la información cargada al SUI</w:t>
      </w:r>
      <w:r w:rsidRPr="00F7314C">
        <w:rPr>
          <w:rFonts w:ascii="Arial" w:hAnsi="Arial" w:cs="Arial"/>
          <w:lang w:val="es-CO" w:eastAsia="zh-CN"/>
        </w:rPr>
        <w:t>.</w:t>
      </w:r>
    </w:p>
    <w:p w14:paraId="26C921F3" w14:textId="77777777" w:rsidR="00932E91" w:rsidRPr="00F7314C" w:rsidRDefault="00932E91" w:rsidP="00932E91">
      <w:pPr>
        <w:spacing w:after="0" w:line="240" w:lineRule="auto"/>
        <w:jc w:val="both"/>
        <w:rPr>
          <w:rFonts w:ascii="Arial" w:hAnsi="Arial" w:cs="Arial"/>
          <w:sz w:val="20"/>
          <w:szCs w:val="20"/>
          <w:lang w:val="es-CO" w:eastAsia="zh-CN"/>
        </w:rPr>
      </w:pPr>
    </w:p>
    <w:p w14:paraId="0D281D9B" w14:textId="77777777" w:rsidR="00932E91" w:rsidRPr="00F7314C" w:rsidRDefault="00932E91" w:rsidP="00932E91">
      <w:pPr>
        <w:spacing w:after="0" w:line="240" w:lineRule="auto"/>
        <w:jc w:val="both"/>
        <w:rPr>
          <w:rFonts w:ascii="Arial" w:hAnsi="Arial" w:cs="Arial"/>
          <w:iCs/>
          <w:sz w:val="20"/>
          <w:szCs w:val="20"/>
          <w:lang w:val="es-ES_tradnl"/>
        </w:rPr>
      </w:pPr>
      <w:r w:rsidRPr="00F7314C">
        <w:rPr>
          <w:rFonts w:ascii="Arial" w:hAnsi="Arial" w:cs="Arial"/>
          <w:sz w:val="20"/>
          <w:szCs w:val="20"/>
        </w:rPr>
        <w:t xml:space="preserve">De acuerdo con lo anterior, en sesión de Comisión Ordinaria No. 224 de 15 de junio de 2016, se aprobó la expedición de la </w:t>
      </w:r>
      <w:r w:rsidRPr="00F7314C">
        <w:rPr>
          <w:rFonts w:ascii="Arial" w:hAnsi="Arial" w:cs="Arial"/>
          <w:iCs/>
          <w:sz w:val="20"/>
          <w:szCs w:val="20"/>
        </w:rPr>
        <w:t xml:space="preserve">Resolución CRA 760 de 2016 </w:t>
      </w:r>
      <w:r w:rsidRPr="00F7314C">
        <w:rPr>
          <w:rFonts w:ascii="Arial" w:hAnsi="Arial" w:cs="Arial"/>
          <w:i/>
          <w:iCs/>
          <w:sz w:val="20"/>
          <w:szCs w:val="20"/>
        </w:rPr>
        <w:t>“Por la cual se hace público el proyecto de Resolución ‘</w:t>
      </w:r>
      <w:r w:rsidRPr="00F7314C">
        <w:rPr>
          <w:rFonts w:ascii="Arial" w:hAnsi="Arial" w:cs="Arial"/>
          <w:bCs/>
          <w:i/>
          <w:iCs/>
          <w:snapToGrid w:val="0"/>
          <w:sz w:val="20"/>
          <w:szCs w:val="20"/>
          <w:lang w:val="es-CO"/>
        </w:rPr>
        <w:t xml:space="preserve">Por la cual </w:t>
      </w:r>
      <w:r w:rsidRPr="00F7314C">
        <w:rPr>
          <w:rFonts w:ascii="Arial" w:hAnsi="Arial" w:cs="Arial"/>
          <w:bCs/>
          <w:i/>
          <w:iCs/>
          <w:snapToGrid w:val="0"/>
          <w:sz w:val="20"/>
          <w:szCs w:val="20"/>
        </w:rPr>
        <w:t>se modifica el Anexo II de la Resolución CRA 688 de 2014, modificado y adicionado por el artículo 47 de la Resolución CRA 735 de 2015’”</w:t>
      </w:r>
      <w:r w:rsidRPr="00F7314C">
        <w:rPr>
          <w:rFonts w:ascii="Arial" w:hAnsi="Arial" w:cs="Arial"/>
          <w:iCs/>
          <w:sz w:val="20"/>
          <w:szCs w:val="20"/>
          <w:lang w:val="es-ES_tradnl"/>
        </w:rPr>
        <w:t>, publicada en el Diario Oficial N° 49.917 de 27 de junio de 2016. Dicho proyecto de resolución incluía como anexo los resultados del análisis efectuado por la CRA respecto de cada uno de los parámetros de inclusión en el año 2014 y cada una de las variables (administrativas y operativas comparables) del modelo de eficiencia comparativa cargadas en el Sistema Único de Información – SUI de la SSPD al corte del 19 de febrero de 2016, por parte de las personas prestadoras pertenecientes al primer segmento, en la serie de tiempo 2010 – 2014.</w:t>
      </w:r>
    </w:p>
    <w:p w14:paraId="57046ADF" w14:textId="77777777" w:rsidR="00932E91" w:rsidRPr="00F7314C" w:rsidRDefault="00932E91" w:rsidP="00932E91">
      <w:pPr>
        <w:spacing w:after="0" w:line="240" w:lineRule="auto"/>
        <w:jc w:val="both"/>
        <w:rPr>
          <w:rFonts w:ascii="Arial" w:hAnsi="Arial" w:cs="Arial"/>
          <w:iCs/>
          <w:sz w:val="20"/>
          <w:szCs w:val="20"/>
          <w:lang w:val="es-ES_tradnl"/>
        </w:rPr>
      </w:pPr>
    </w:p>
    <w:p w14:paraId="5F84C341" w14:textId="77777777" w:rsidR="00932E91" w:rsidRPr="00F7314C" w:rsidRDefault="00932E91" w:rsidP="00932E91">
      <w:pPr>
        <w:autoSpaceDE w:val="0"/>
        <w:autoSpaceDN w:val="0"/>
        <w:adjustRightInd w:val="0"/>
        <w:spacing w:after="0" w:line="240" w:lineRule="auto"/>
        <w:jc w:val="both"/>
        <w:rPr>
          <w:rFonts w:ascii="Arial" w:hAnsi="Arial" w:cs="Arial"/>
          <w:sz w:val="20"/>
          <w:szCs w:val="20"/>
          <w:lang w:val="es-CO" w:eastAsia="es-CO"/>
        </w:rPr>
      </w:pPr>
      <w:r w:rsidRPr="00F7314C">
        <w:rPr>
          <w:rFonts w:ascii="Arial" w:hAnsi="Arial" w:cs="Arial"/>
          <w:iCs/>
          <w:sz w:val="20"/>
          <w:szCs w:val="20"/>
          <w:lang w:val="es-ES_tradnl" w:eastAsia="es-CO"/>
        </w:rPr>
        <w:t>Durante el término de participación ciudadana de la Resolución CRA 760 de 2016 se recibieron 27 observaciones, reparos y sugerencias escritas, las cuales en su totalidad s</w:t>
      </w:r>
      <w:r w:rsidRPr="00F7314C">
        <w:rPr>
          <w:rFonts w:ascii="Arial" w:hAnsi="Arial" w:cs="Arial"/>
          <w:sz w:val="20"/>
          <w:szCs w:val="20"/>
          <w:lang w:val="es-ES_tradnl" w:eastAsia="es-CO"/>
        </w:rPr>
        <w:t>e</w:t>
      </w:r>
      <w:r w:rsidRPr="00F7314C">
        <w:rPr>
          <w:rFonts w:ascii="Arial" w:hAnsi="Arial" w:cs="Arial"/>
          <w:iCs/>
          <w:sz w:val="20"/>
          <w:szCs w:val="20"/>
          <w:lang w:val="es-ES_tradnl" w:eastAsia="es-CO"/>
        </w:rPr>
        <w:t xml:space="preserve"> clasificaron en ejes temáticos, se consideraron</w:t>
      </w:r>
      <w:r>
        <w:rPr>
          <w:rFonts w:ascii="Arial" w:hAnsi="Arial" w:cs="Arial"/>
          <w:iCs/>
          <w:sz w:val="20"/>
          <w:szCs w:val="20"/>
          <w:lang w:val="es-ES_tradnl" w:eastAsia="es-CO"/>
        </w:rPr>
        <w:t xml:space="preserve"> y</w:t>
      </w:r>
      <w:r w:rsidRPr="00F7314C">
        <w:rPr>
          <w:rFonts w:ascii="Arial" w:hAnsi="Arial" w:cs="Arial"/>
          <w:iCs/>
          <w:sz w:val="20"/>
          <w:szCs w:val="20"/>
          <w:lang w:val="es-ES_tradnl" w:eastAsia="es-CO"/>
        </w:rPr>
        <w:t xml:space="preserve"> se analizaron por parte de la Comisión de Regulación</w:t>
      </w:r>
      <w:r>
        <w:rPr>
          <w:rFonts w:ascii="Arial" w:hAnsi="Arial" w:cs="Arial"/>
          <w:iCs/>
          <w:sz w:val="20"/>
          <w:szCs w:val="20"/>
          <w:lang w:val="es-ES_tradnl" w:eastAsia="es-CO"/>
        </w:rPr>
        <w:t xml:space="preserve"> de Agua Potable y Saneamiento Básico - CRA</w:t>
      </w:r>
      <w:r w:rsidRPr="00F7314C">
        <w:rPr>
          <w:rFonts w:ascii="Arial" w:hAnsi="Arial" w:cs="Arial"/>
          <w:iCs/>
          <w:sz w:val="20"/>
          <w:szCs w:val="20"/>
          <w:lang w:val="es-ES_tradnl" w:eastAsia="es-CO"/>
        </w:rPr>
        <w:t>.</w:t>
      </w:r>
    </w:p>
    <w:p w14:paraId="03437114" w14:textId="77777777" w:rsidR="00AE0150" w:rsidRDefault="00AE0150" w:rsidP="00AE0150">
      <w:pPr>
        <w:spacing w:after="0" w:line="240" w:lineRule="auto"/>
        <w:jc w:val="both"/>
        <w:rPr>
          <w:rFonts w:ascii="Arial" w:hAnsi="Arial" w:cs="Arial"/>
          <w:sz w:val="20"/>
          <w:szCs w:val="20"/>
        </w:rPr>
      </w:pPr>
    </w:p>
    <w:p w14:paraId="4D55C549" w14:textId="77777777" w:rsidR="00AE0150" w:rsidRPr="00F7314C" w:rsidRDefault="00AE0150" w:rsidP="00AE0150">
      <w:pPr>
        <w:spacing w:after="0" w:line="240" w:lineRule="auto"/>
        <w:jc w:val="both"/>
        <w:rPr>
          <w:rFonts w:ascii="Arial" w:hAnsi="Arial" w:cs="Arial"/>
          <w:sz w:val="20"/>
          <w:szCs w:val="20"/>
        </w:rPr>
      </w:pPr>
      <w:r w:rsidRPr="00F7314C">
        <w:rPr>
          <w:rFonts w:ascii="Arial" w:hAnsi="Arial" w:cs="Arial"/>
          <w:sz w:val="20"/>
          <w:szCs w:val="20"/>
        </w:rPr>
        <w:t xml:space="preserve">Es importante mencionar que </w:t>
      </w:r>
      <w:r>
        <w:rPr>
          <w:rFonts w:ascii="Arial" w:hAnsi="Arial" w:cs="Arial"/>
          <w:sz w:val="20"/>
          <w:szCs w:val="20"/>
        </w:rPr>
        <w:t>se realizaron</w:t>
      </w:r>
      <w:r w:rsidRPr="00F7314C">
        <w:rPr>
          <w:rFonts w:ascii="Arial" w:hAnsi="Arial" w:cs="Arial"/>
          <w:sz w:val="20"/>
          <w:szCs w:val="20"/>
        </w:rPr>
        <w:t xml:space="preserve"> las diferentes reuniones que se llevaron a cabo con los prestadores, durante los meses de abril a julio de 2016,</w:t>
      </w:r>
      <w:r>
        <w:rPr>
          <w:rFonts w:ascii="Arial" w:hAnsi="Arial" w:cs="Arial"/>
          <w:sz w:val="20"/>
          <w:szCs w:val="20"/>
        </w:rPr>
        <w:t xml:space="preserve"> en donde</w:t>
      </w:r>
      <w:r w:rsidRPr="00F7314C">
        <w:rPr>
          <w:rFonts w:ascii="Arial" w:hAnsi="Arial" w:cs="Arial"/>
          <w:sz w:val="20"/>
          <w:szCs w:val="20"/>
        </w:rPr>
        <w:t xml:space="preserve"> se le</w:t>
      </w:r>
      <w:r>
        <w:rPr>
          <w:rFonts w:ascii="Arial" w:hAnsi="Arial" w:cs="Arial"/>
          <w:sz w:val="20"/>
          <w:szCs w:val="20"/>
        </w:rPr>
        <w:t>s</w:t>
      </w:r>
      <w:r w:rsidRPr="00F7314C">
        <w:rPr>
          <w:rFonts w:ascii="Arial" w:hAnsi="Arial" w:cs="Arial"/>
          <w:sz w:val="20"/>
          <w:szCs w:val="20"/>
        </w:rPr>
        <w:t xml:space="preserve"> informó cuales eran las fuentes de información de cada una de las variables necesarias para el cálculo del puntaje DEA. </w:t>
      </w:r>
    </w:p>
    <w:p w14:paraId="6E7E6420" w14:textId="77777777" w:rsidR="00932E91" w:rsidRPr="00F7314C" w:rsidRDefault="00932E91" w:rsidP="00932E91">
      <w:pPr>
        <w:autoSpaceDE w:val="0"/>
        <w:autoSpaceDN w:val="0"/>
        <w:adjustRightInd w:val="0"/>
        <w:spacing w:after="0" w:line="240" w:lineRule="auto"/>
        <w:jc w:val="both"/>
        <w:rPr>
          <w:rFonts w:ascii="Arial" w:hAnsi="Arial" w:cs="Arial"/>
          <w:sz w:val="20"/>
          <w:szCs w:val="20"/>
          <w:lang w:eastAsia="es-CO"/>
        </w:rPr>
      </w:pPr>
    </w:p>
    <w:p w14:paraId="01D411F8"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sz w:val="20"/>
          <w:szCs w:val="20"/>
          <w:lang w:eastAsia="es-CO"/>
        </w:rPr>
        <w:t xml:space="preserve">Así las cosas, en sesión de Comisión Ordinaria No. 226 de 15 de septiembre de 2016, se aprobó la expedición de la </w:t>
      </w:r>
      <w:r w:rsidRPr="00F7314C">
        <w:rPr>
          <w:rFonts w:ascii="Arial" w:hAnsi="Arial" w:cs="Arial"/>
          <w:iCs/>
          <w:sz w:val="20"/>
          <w:szCs w:val="20"/>
          <w:lang w:eastAsia="es-CO"/>
        </w:rPr>
        <w:t>Resolución CRA 770 de 2016,</w:t>
      </w:r>
      <w:r w:rsidRPr="00F7314C">
        <w:rPr>
          <w:rFonts w:ascii="Arial" w:hAnsi="Arial" w:cs="Arial"/>
          <w:b/>
          <w:bCs/>
          <w:i/>
          <w:iCs/>
          <w:sz w:val="20"/>
          <w:szCs w:val="20"/>
          <w:lang w:val="es-CO" w:eastAsia="es-CO"/>
        </w:rPr>
        <w:t xml:space="preserve"> </w:t>
      </w:r>
      <w:r w:rsidRPr="00F7314C">
        <w:rPr>
          <w:rFonts w:ascii="Arial" w:hAnsi="Arial" w:cs="Arial"/>
          <w:bCs/>
          <w:i/>
          <w:iCs/>
          <w:sz w:val="20"/>
          <w:szCs w:val="20"/>
          <w:lang w:val="es-CO" w:eastAsia="es-CO"/>
        </w:rPr>
        <w:t xml:space="preserve">“Por la cual </w:t>
      </w:r>
      <w:r w:rsidRPr="00F7314C">
        <w:rPr>
          <w:rFonts w:ascii="Arial" w:hAnsi="Arial" w:cs="Arial"/>
          <w:bCs/>
          <w:i/>
          <w:iCs/>
          <w:sz w:val="20"/>
          <w:szCs w:val="20"/>
          <w:lang w:eastAsia="es-CO"/>
        </w:rPr>
        <w:t xml:space="preserve">se modifica el Anexo II de la Resolución CRA 688 de 2014, modificado y adicionado por el artículo 47 de la Resolución CRA 735 de 2015”, </w:t>
      </w:r>
      <w:r w:rsidRPr="00F7314C">
        <w:rPr>
          <w:rFonts w:ascii="Arial" w:hAnsi="Arial" w:cs="Arial"/>
          <w:bCs/>
          <w:iCs/>
          <w:sz w:val="20"/>
          <w:szCs w:val="20"/>
          <w:lang w:eastAsia="es-CO"/>
        </w:rPr>
        <w:t>publicada en el Diario Oficial N° 50.011 de 29 de septiembre de 2016</w:t>
      </w:r>
      <w:r w:rsidRPr="00F7314C">
        <w:rPr>
          <w:rFonts w:ascii="Arial" w:hAnsi="Arial" w:cs="Arial"/>
          <w:bCs/>
          <w:i/>
          <w:iCs/>
          <w:sz w:val="20"/>
          <w:szCs w:val="20"/>
          <w:lang w:eastAsia="es-CO"/>
        </w:rPr>
        <w:t xml:space="preserve">, </w:t>
      </w:r>
      <w:r w:rsidRPr="00F7314C">
        <w:rPr>
          <w:rFonts w:ascii="Arial" w:hAnsi="Arial" w:cs="Arial"/>
          <w:bCs/>
          <w:iCs/>
          <w:sz w:val="20"/>
          <w:szCs w:val="20"/>
          <w:lang w:eastAsia="es-CO"/>
        </w:rPr>
        <w:t xml:space="preserve">definiendo el </w:t>
      </w:r>
      <w:r w:rsidRPr="00F7314C">
        <w:rPr>
          <w:rFonts w:ascii="Arial" w:hAnsi="Arial" w:cs="Arial"/>
          <w:bCs/>
          <w:iCs/>
          <w:sz w:val="20"/>
          <w:szCs w:val="20"/>
          <w:lang w:val="es-MX" w:eastAsia="es-CO"/>
        </w:rPr>
        <w:t xml:space="preserve">primero (1°) </w:t>
      </w:r>
      <w:r w:rsidRPr="00F7314C">
        <w:rPr>
          <w:rFonts w:ascii="Arial" w:hAnsi="Arial" w:cs="Arial"/>
          <w:bCs/>
          <w:iCs/>
          <w:sz w:val="20"/>
          <w:szCs w:val="20"/>
          <w:lang w:eastAsia="es-CO"/>
        </w:rPr>
        <w:t xml:space="preserve">de noviembre del año 2016, como plazo para que las personas prestadoras </w:t>
      </w:r>
      <w:r w:rsidRPr="00F7314C">
        <w:rPr>
          <w:rFonts w:ascii="Arial" w:hAnsi="Arial" w:cs="Arial"/>
          <w:bCs/>
          <w:iCs/>
          <w:sz w:val="20"/>
          <w:szCs w:val="20"/>
          <w:lang w:val="es-CO" w:eastAsia="es-CO"/>
        </w:rPr>
        <w:t>con APS del primer segmento y/o con APS en las que optaron por aplicar la metodología correspondiente al primer segmento,</w:t>
      </w:r>
      <w:r w:rsidRPr="00F7314C">
        <w:rPr>
          <w:rFonts w:ascii="Arial" w:hAnsi="Arial" w:cs="Arial"/>
          <w:bCs/>
          <w:iCs/>
          <w:sz w:val="20"/>
          <w:szCs w:val="20"/>
          <w:lang w:eastAsia="es-CO"/>
        </w:rPr>
        <w:t xml:space="preserve"> revisaran y realizaran los ajustes a que hubiere lugar de la información cargada al SUI para el cálculo del</w:t>
      </w:r>
      <w:r w:rsidRPr="00F7314C">
        <w:rPr>
          <w:rFonts w:ascii="Arial" w:hAnsi="Arial" w:cs="Arial"/>
          <w:bCs/>
          <w:iCs/>
          <w:sz w:val="20"/>
          <w:szCs w:val="20"/>
          <w:lang w:val="es-CO" w:eastAsia="es-CO"/>
        </w:rPr>
        <w:t xml:space="preserve"> P</w:t>
      </w:r>
      <w:r w:rsidRPr="00F7314C">
        <w:rPr>
          <w:rFonts w:ascii="Arial" w:hAnsi="Arial" w:cs="Arial"/>
          <w:bCs/>
          <w:iCs/>
          <w:sz w:val="20"/>
          <w:szCs w:val="20"/>
          <w:vertAlign w:val="subscript"/>
          <w:lang w:val="es-CO" w:eastAsia="es-CO"/>
        </w:rPr>
        <w:t>DEA</w:t>
      </w:r>
      <w:r w:rsidRPr="00F7314C">
        <w:rPr>
          <w:rFonts w:ascii="Arial" w:hAnsi="Arial" w:cs="Arial"/>
          <w:bCs/>
          <w:iCs/>
          <w:sz w:val="20"/>
          <w:szCs w:val="20"/>
          <w:lang w:eastAsia="es-CO"/>
        </w:rPr>
        <w:t>.</w:t>
      </w:r>
    </w:p>
    <w:p w14:paraId="3FC211C3" w14:textId="77777777" w:rsidR="00932E91" w:rsidRPr="00F7314C" w:rsidRDefault="00932E91" w:rsidP="00932E91">
      <w:pPr>
        <w:autoSpaceDE w:val="0"/>
        <w:autoSpaceDN w:val="0"/>
        <w:adjustRightInd w:val="0"/>
        <w:spacing w:after="0" w:line="240" w:lineRule="auto"/>
        <w:jc w:val="both"/>
        <w:rPr>
          <w:rFonts w:ascii="Arial" w:hAnsi="Arial" w:cs="Arial"/>
          <w:bCs/>
          <w:i/>
          <w:iCs/>
          <w:sz w:val="20"/>
          <w:szCs w:val="20"/>
          <w:lang w:val="es-CO" w:eastAsia="es-CO"/>
        </w:rPr>
      </w:pPr>
    </w:p>
    <w:p w14:paraId="1330484D"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val="es-MX" w:eastAsia="es-CO"/>
        </w:rPr>
      </w:pPr>
      <w:r w:rsidRPr="00F7314C">
        <w:rPr>
          <w:rFonts w:ascii="Arial" w:hAnsi="Arial" w:cs="Arial"/>
          <w:bCs/>
          <w:iCs/>
          <w:sz w:val="20"/>
          <w:szCs w:val="20"/>
          <w:lang w:val="es-MX" w:eastAsia="es-CO"/>
        </w:rPr>
        <w:t xml:space="preserve">Una vez, vencido el plazo anterior, la Superintendencia de Servicios Públicos Domiciliarios </w:t>
      </w:r>
      <w:r>
        <w:rPr>
          <w:rFonts w:ascii="Arial" w:hAnsi="Arial" w:cs="Arial"/>
          <w:bCs/>
          <w:iCs/>
          <w:sz w:val="20"/>
          <w:szCs w:val="20"/>
          <w:lang w:val="es-MX" w:eastAsia="es-CO"/>
        </w:rPr>
        <w:t>-</w:t>
      </w:r>
      <w:r w:rsidRPr="00F7314C">
        <w:rPr>
          <w:rFonts w:ascii="Arial" w:hAnsi="Arial" w:cs="Arial"/>
          <w:bCs/>
          <w:iCs/>
          <w:sz w:val="20"/>
          <w:szCs w:val="20"/>
          <w:lang w:val="es-MX" w:eastAsia="es-CO"/>
        </w:rPr>
        <w:t xml:space="preserve"> SSPD remitió la información cargada por los prestadores al Sistema Único de Información – SUI, la cual fue recibida mediante el radicado CRA 2016-321-008595-2 de 9 de noviembre de 2016, una vez concluidos los trámites de reversión solicitados por las personas prestadoras.</w:t>
      </w:r>
    </w:p>
    <w:p w14:paraId="3E527004" w14:textId="77777777" w:rsidR="00932E91" w:rsidRPr="00F7314C" w:rsidRDefault="00932E91" w:rsidP="00932E91">
      <w:pPr>
        <w:autoSpaceDE w:val="0"/>
        <w:autoSpaceDN w:val="0"/>
        <w:adjustRightInd w:val="0"/>
        <w:spacing w:after="0" w:line="240" w:lineRule="auto"/>
        <w:jc w:val="both"/>
        <w:rPr>
          <w:rFonts w:ascii="Arial" w:hAnsi="Arial" w:cs="Arial"/>
          <w:bCs/>
          <w:i/>
          <w:iCs/>
          <w:sz w:val="20"/>
          <w:szCs w:val="20"/>
          <w:lang w:val="es-MX" w:eastAsia="es-CO"/>
        </w:rPr>
      </w:pPr>
    </w:p>
    <w:p w14:paraId="7BA00C36"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val="es-MX" w:eastAsia="es-CO"/>
        </w:rPr>
        <w:t xml:space="preserve">Posteriormente, </w:t>
      </w:r>
      <w:r w:rsidRPr="00F7314C">
        <w:rPr>
          <w:rFonts w:ascii="Arial" w:hAnsi="Arial" w:cs="Arial"/>
          <w:bCs/>
          <w:iCs/>
          <w:sz w:val="20"/>
          <w:szCs w:val="20"/>
          <w:lang w:eastAsia="es-CO"/>
        </w:rPr>
        <w:t xml:space="preserve">en sesión de Comisión Extraordinaria No. 9 de 21 de diciembre de 2016, </w:t>
      </w:r>
      <w:r w:rsidRPr="00F7314C">
        <w:rPr>
          <w:rFonts w:ascii="Arial" w:hAnsi="Arial" w:cs="Arial"/>
          <w:bCs/>
          <w:iCs/>
          <w:sz w:val="20"/>
          <w:szCs w:val="20"/>
          <w:lang w:val="es-MX" w:eastAsia="es-CO"/>
        </w:rPr>
        <w:t xml:space="preserve">se expidió la Resolución CRA 782 de 2016 </w:t>
      </w:r>
      <w:r w:rsidRPr="00F7314C">
        <w:rPr>
          <w:rFonts w:ascii="Arial" w:hAnsi="Arial" w:cs="Arial"/>
          <w:bCs/>
          <w:i/>
          <w:iCs/>
          <w:sz w:val="20"/>
          <w:szCs w:val="20"/>
          <w:lang w:eastAsia="es-CO"/>
        </w:rPr>
        <w:t xml:space="preserve">“Por la cual se publica la información de los parámetros de inclusión en el modelo de eficiencia comparativa DEA y los valores de las variables administrativas y operativas para la construcción del modelo de eficiencia comparativa DEA, calculadas a partir de la información disponible en el SUI al primero de noviembre de 2016, de las personas prestadoras de los servicios públicos domiciliarios de acueducto y alcantarillado relacionadas en el numeral 8 del Anexo II de la Resolución CRA 688 de 2014, modificado y adicionado por el artículo 47 de la Resolución CRA 735 de 2015 y la Resolución CRA 770 de 2016”, </w:t>
      </w:r>
      <w:r w:rsidRPr="00F7314C">
        <w:rPr>
          <w:rFonts w:ascii="Arial" w:hAnsi="Arial" w:cs="Arial"/>
          <w:bCs/>
          <w:iCs/>
          <w:sz w:val="20"/>
          <w:szCs w:val="20"/>
          <w:lang w:eastAsia="es-CO"/>
        </w:rPr>
        <w:t>publicada en el Diario Oficial N° 50.095 de 2</w:t>
      </w:r>
      <w:r>
        <w:rPr>
          <w:rFonts w:ascii="Arial" w:hAnsi="Arial" w:cs="Arial"/>
          <w:bCs/>
          <w:iCs/>
          <w:sz w:val="20"/>
          <w:szCs w:val="20"/>
          <w:lang w:eastAsia="es-CO"/>
        </w:rPr>
        <w:t>2</w:t>
      </w:r>
      <w:r w:rsidRPr="00F7314C">
        <w:rPr>
          <w:rFonts w:ascii="Arial" w:hAnsi="Arial" w:cs="Arial"/>
          <w:bCs/>
          <w:iCs/>
          <w:sz w:val="20"/>
          <w:szCs w:val="20"/>
          <w:lang w:eastAsia="es-CO"/>
        </w:rPr>
        <w:t xml:space="preserve"> de </w:t>
      </w:r>
      <w:r>
        <w:rPr>
          <w:rFonts w:ascii="Arial" w:hAnsi="Arial" w:cs="Arial"/>
          <w:bCs/>
          <w:iCs/>
          <w:sz w:val="20"/>
          <w:szCs w:val="20"/>
          <w:lang w:eastAsia="es-CO"/>
        </w:rPr>
        <w:t>diciembre</w:t>
      </w:r>
      <w:r w:rsidRPr="00F7314C">
        <w:rPr>
          <w:rFonts w:ascii="Arial" w:hAnsi="Arial" w:cs="Arial"/>
          <w:bCs/>
          <w:iCs/>
          <w:sz w:val="20"/>
          <w:szCs w:val="20"/>
          <w:lang w:eastAsia="es-CO"/>
        </w:rPr>
        <w:t xml:space="preserve"> de 2016.</w:t>
      </w:r>
    </w:p>
    <w:p w14:paraId="46016DC0"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p>
    <w:p w14:paraId="3FDC3B96"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eastAsia="es-CO"/>
        </w:rPr>
        <w:t xml:space="preserve">Una vez finalizado el plazo otorgado mediante la Resolución CRA 782 de 2016 </w:t>
      </w:r>
      <w:r w:rsidRPr="00F7314C">
        <w:rPr>
          <w:rFonts w:ascii="Arial" w:hAnsi="Arial" w:cs="Arial"/>
          <w:bCs/>
          <w:iCs/>
          <w:sz w:val="20"/>
          <w:szCs w:val="20"/>
          <w:lang w:val="es-MX" w:eastAsia="es-CO"/>
        </w:rPr>
        <w:t xml:space="preserve">se analizaron </w:t>
      </w:r>
      <w:r w:rsidRPr="00F7314C">
        <w:rPr>
          <w:rFonts w:ascii="Arial" w:hAnsi="Arial" w:cs="Arial"/>
          <w:bCs/>
          <w:iCs/>
          <w:sz w:val="20"/>
          <w:szCs w:val="20"/>
          <w:lang w:eastAsia="es-CO"/>
        </w:rPr>
        <w:t xml:space="preserve">las justificaciones </w:t>
      </w:r>
      <w:r w:rsidRPr="00F7314C">
        <w:rPr>
          <w:rFonts w:ascii="Arial" w:hAnsi="Arial" w:cs="Arial"/>
          <w:bCs/>
          <w:iCs/>
          <w:sz w:val="20"/>
          <w:szCs w:val="20"/>
          <w:lang w:val="es-CO" w:eastAsia="es-CO"/>
        </w:rPr>
        <w:t>enviadas</w:t>
      </w:r>
      <w:r w:rsidRPr="00F7314C">
        <w:rPr>
          <w:rFonts w:ascii="Arial" w:hAnsi="Arial" w:cs="Arial"/>
          <w:bCs/>
          <w:iCs/>
          <w:sz w:val="20"/>
          <w:szCs w:val="20"/>
          <w:lang w:eastAsia="es-CO"/>
        </w:rPr>
        <w:t xml:space="preserve"> por parte de las personas prestadoras listadas en el numeral 8 del Anexo </w:t>
      </w:r>
      <w:r w:rsidRPr="00F7314C">
        <w:rPr>
          <w:rFonts w:ascii="Arial" w:hAnsi="Arial" w:cs="Arial"/>
          <w:bCs/>
          <w:iCs/>
          <w:sz w:val="20"/>
          <w:szCs w:val="20"/>
          <w:lang w:val="es-CO" w:eastAsia="es-CO"/>
        </w:rPr>
        <w:t>II</w:t>
      </w:r>
      <w:r w:rsidRPr="00F7314C">
        <w:rPr>
          <w:rFonts w:ascii="Arial" w:hAnsi="Arial" w:cs="Arial"/>
          <w:bCs/>
          <w:iCs/>
          <w:sz w:val="20"/>
          <w:szCs w:val="20"/>
          <w:lang w:eastAsia="es-CO"/>
        </w:rPr>
        <w:t xml:space="preserve"> de la Resolución CRA 688 de 2014 y se dio cumplimiento a lo establecido en el inciso segundo del numeral 7 del Anexo II ibídem.</w:t>
      </w:r>
    </w:p>
    <w:p w14:paraId="7EE6C55A" w14:textId="77777777" w:rsidR="00932E91" w:rsidRPr="00F7314C" w:rsidRDefault="00932E91" w:rsidP="00932E91">
      <w:pPr>
        <w:autoSpaceDE w:val="0"/>
        <w:autoSpaceDN w:val="0"/>
        <w:adjustRightInd w:val="0"/>
        <w:spacing w:after="0" w:line="240" w:lineRule="auto"/>
        <w:jc w:val="both"/>
        <w:rPr>
          <w:rFonts w:ascii="Arial" w:hAnsi="Arial" w:cs="Arial"/>
          <w:bCs/>
          <w:i/>
          <w:iCs/>
          <w:sz w:val="20"/>
          <w:szCs w:val="20"/>
          <w:lang w:val="es-CO" w:eastAsia="es-CO"/>
        </w:rPr>
      </w:pPr>
    </w:p>
    <w:p w14:paraId="762E020E"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val="es-CO" w:eastAsia="es-CO"/>
        </w:rPr>
        <w:t>Del análisis a las justificaciones recibidas se estableció que nueve</w:t>
      </w:r>
      <w:r w:rsidRPr="00F7314C">
        <w:rPr>
          <w:rFonts w:ascii="Arial" w:hAnsi="Arial" w:cs="Arial"/>
          <w:bCs/>
          <w:iCs/>
          <w:sz w:val="20"/>
          <w:szCs w:val="20"/>
          <w:lang w:eastAsia="es-CO"/>
        </w:rPr>
        <w:t xml:space="preserve"> (9) personas prestadoras cumplían con toda la información y requisitos necesarios para aplicar la metodología DEA. A Dichos prestadores les fue enviado por la </w:t>
      </w:r>
      <w:r w:rsidRPr="00F7314C">
        <w:rPr>
          <w:rFonts w:ascii="Arial" w:hAnsi="Arial" w:cs="Arial"/>
          <w:bCs/>
          <w:iCs/>
          <w:sz w:val="20"/>
          <w:szCs w:val="20"/>
          <w:lang w:val="es-MX" w:eastAsia="es-CO"/>
        </w:rPr>
        <w:t xml:space="preserve">Superintendencia de Servicios Públicos Domiciliarios </w:t>
      </w:r>
      <w:r>
        <w:rPr>
          <w:rFonts w:ascii="Arial" w:hAnsi="Arial" w:cs="Arial"/>
          <w:bCs/>
          <w:iCs/>
          <w:sz w:val="20"/>
          <w:szCs w:val="20"/>
          <w:lang w:val="es-MX" w:eastAsia="es-CO"/>
        </w:rPr>
        <w:t>-</w:t>
      </w:r>
      <w:r w:rsidRPr="00F7314C">
        <w:rPr>
          <w:rFonts w:ascii="Arial" w:hAnsi="Arial" w:cs="Arial"/>
          <w:bCs/>
          <w:iCs/>
          <w:sz w:val="20"/>
          <w:szCs w:val="20"/>
          <w:lang w:val="es-MX" w:eastAsia="es-CO"/>
        </w:rPr>
        <w:t xml:space="preserve"> </w:t>
      </w:r>
      <w:r w:rsidRPr="00F7314C">
        <w:rPr>
          <w:rFonts w:ascii="Arial" w:hAnsi="Arial" w:cs="Arial"/>
          <w:bCs/>
          <w:iCs/>
          <w:sz w:val="20"/>
          <w:szCs w:val="20"/>
          <w:lang w:eastAsia="es-CO"/>
        </w:rPr>
        <w:t>SSPD un nuevo archivo Excel elaborado por la Unidad Administrativa Especial Comisión de Regulación de Agua Potable y Saneamiento Básico - UAE CRA, con el reporte de costos administrativos y operativos comparables para los años 2013 y 2014 para el registro de traslados y exclusiones en los costos. Dicha información ajustada en el archivo Excel, debía ser remitida mediante comunicación suscrita por el representante legal de la empresa, en un plazo de cinco (5) días hábiles contados a partir de la fecha de recibo del archivo.</w:t>
      </w:r>
    </w:p>
    <w:p w14:paraId="5E11D6BC"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p>
    <w:p w14:paraId="6D67C9AE"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val="es-CO" w:eastAsia="es-CO"/>
        </w:rPr>
      </w:pPr>
      <w:r w:rsidRPr="00F7314C">
        <w:rPr>
          <w:rFonts w:ascii="Arial" w:hAnsi="Arial" w:cs="Arial"/>
          <w:bCs/>
          <w:iCs/>
          <w:sz w:val="20"/>
          <w:szCs w:val="20"/>
          <w:lang w:val="es-CO" w:eastAsia="es-CO"/>
        </w:rPr>
        <w:t>Igualmente se estableció que la información de costos relacionada en el archivo Excel radicada en la SSPD después de la fecha establecida, no sería tenida en cuenta para efectos del cálculo de los P</w:t>
      </w:r>
      <w:r w:rsidRPr="00F7314C">
        <w:rPr>
          <w:rFonts w:ascii="Arial" w:hAnsi="Arial" w:cs="Arial"/>
          <w:bCs/>
          <w:iCs/>
          <w:sz w:val="20"/>
          <w:szCs w:val="20"/>
          <w:vertAlign w:val="subscript"/>
          <w:lang w:val="es-CO" w:eastAsia="es-CO"/>
        </w:rPr>
        <w:t>DEA</w:t>
      </w:r>
      <w:r w:rsidRPr="00F7314C">
        <w:rPr>
          <w:rFonts w:ascii="Arial" w:hAnsi="Arial" w:cs="Arial"/>
          <w:bCs/>
          <w:iCs/>
          <w:sz w:val="20"/>
          <w:szCs w:val="20"/>
          <w:lang w:val="es-CO" w:eastAsia="es-CO"/>
        </w:rPr>
        <w:t>. En este caso, se tomarían para el cálculo de los P</w:t>
      </w:r>
      <w:r w:rsidRPr="00F7314C">
        <w:rPr>
          <w:rFonts w:ascii="Arial" w:hAnsi="Arial" w:cs="Arial"/>
          <w:bCs/>
          <w:iCs/>
          <w:sz w:val="20"/>
          <w:szCs w:val="20"/>
          <w:vertAlign w:val="subscript"/>
          <w:lang w:val="es-CO" w:eastAsia="es-CO"/>
        </w:rPr>
        <w:t>DEA</w:t>
      </w:r>
      <w:r w:rsidRPr="00F7314C">
        <w:rPr>
          <w:rFonts w:ascii="Arial" w:hAnsi="Arial" w:cs="Arial"/>
          <w:bCs/>
          <w:iCs/>
          <w:sz w:val="20"/>
          <w:szCs w:val="20"/>
          <w:lang w:val="es-CO" w:eastAsia="es-CO"/>
        </w:rPr>
        <w:t xml:space="preserve"> los costos reportados en el SUI, sin perjuicio de posteriores requerimientos que pudiera solicitar la SSPD para efectuar la aclaración en el marco de sus funciones de inspección, vigilancia y control.</w:t>
      </w:r>
    </w:p>
    <w:p w14:paraId="41B0FAD1"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p>
    <w:p w14:paraId="3D92FF44" w14:textId="77777777" w:rsidR="00932E91" w:rsidRPr="00486705" w:rsidRDefault="00932E91" w:rsidP="00932E91">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eastAsia="es-CO"/>
        </w:rPr>
        <w:t xml:space="preserve">Conforme lo anterior, la Superintendencia de Servicios Públicos Domiciliarios </w:t>
      </w:r>
      <w:r>
        <w:rPr>
          <w:rFonts w:ascii="Arial" w:hAnsi="Arial" w:cs="Arial"/>
          <w:bCs/>
          <w:iCs/>
          <w:sz w:val="20"/>
          <w:szCs w:val="20"/>
          <w:lang w:eastAsia="es-CO"/>
        </w:rPr>
        <w:t>-</w:t>
      </w:r>
      <w:r w:rsidRPr="00F7314C">
        <w:rPr>
          <w:rFonts w:ascii="Arial" w:hAnsi="Arial" w:cs="Arial"/>
          <w:bCs/>
          <w:iCs/>
          <w:sz w:val="20"/>
          <w:szCs w:val="20"/>
          <w:lang w:eastAsia="es-CO"/>
        </w:rPr>
        <w:t xml:space="preserve"> SSPD remitió el 6 de febrero de 2017, un oficio a cada una de las nueve (9) personas prestadoras que cumplieron con toda la información y requisitos necesarios para aplicar la metodología DEA</w:t>
      </w:r>
      <w:r w:rsidRPr="00F7314C">
        <w:rPr>
          <w:rFonts w:ascii="Arial" w:hAnsi="Arial" w:cs="Arial"/>
          <w:bCs/>
          <w:iCs/>
          <w:sz w:val="20"/>
          <w:szCs w:val="20"/>
          <w:lang w:val="es-MX" w:eastAsia="es-CO"/>
        </w:rPr>
        <w:t xml:space="preserve">; al cual le </w:t>
      </w:r>
      <w:r w:rsidRPr="00F7314C">
        <w:rPr>
          <w:rFonts w:ascii="Arial" w:hAnsi="Arial" w:cs="Arial"/>
          <w:bCs/>
          <w:iCs/>
          <w:sz w:val="20"/>
          <w:szCs w:val="20"/>
          <w:lang w:eastAsia="es-CO"/>
        </w:rPr>
        <w:t>anexó un archivo Excel con la información reportada al Sistema Único de Información</w:t>
      </w:r>
      <w:r>
        <w:rPr>
          <w:rFonts w:ascii="Arial" w:hAnsi="Arial" w:cs="Arial"/>
          <w:bCs/>
          <w:iCs/>
          <w:sz w:val="20"/>
          <w:szCs w:val="20"/>
          <w:lang w:eastAsia="es-CO"/>
        </w:rPr>
        <w:t xml:space="preserve"> -</w:t>
      </w:r>
      <w:r w:rsidRPr="00F7314C">
        <w:rPr>
          <w:rFonts w:ascii="Arial" w:hAnsi="Arial" w:cs="Arial"/>
          <w:bCs/>
          <w:iCs/>
          <w:sz w:val="20"/>
          <w:szCs w:val="20"/>
          <w:lang w:eastAsia="es-CO"/>
        </w:rPr>
        <w:t xml:space="preserve"> SUI de los costos administrativos y operativos comparables para el cálculo de los P</w:t>
      </w:r>
      <w:r w:rsidRPr="00F7314C">
        <w:rPr>
          <w:rFonts w:ascii="Arial" w:hAnsi="Arial" w:cs="Arial"/>
          <w:bCs/>
          <w:iCs/>
          <w:sz w:val="20"/>
          <w:szCs w:val="20"/>
          <w:vertAlign w:val="subscript"/>
          <w:lang w:eastAsia="es-CO"/>
        </w:rPr>
        <w:t xml:space="preserve">DEA. </w:t>
      </w:r>
    </w:p>
    <w:p w14:paraId="4B57974A" w14:textId="77777777" w:rsidR="00932E91" w:rsidRDefault="00932E91" w:rsidP="00932E91">
      <w:pPr>
        <w:autoSpaceDE w:val="0"/>
        <w:autoSpaceDN w:val="0"/>
        <w:adjustRightInd w:val="0"/>
        <w:spacing w:after="0" w:line="240" w:lineRule="auto"/>
        <w:jc w:val="both"/>
        <w:rPr>
          <w:rFonts w:ascii="Arial" w:hAnsi="Arial" w:cs="Arial"/>
          <w:bCs/>
          <w:iCs/>
          <w:sz w:val="20"/>
          <w:szCs w:val="20"/>
          <w:vertAlign w:val="subscript"/>
          <w:lang w:eastAsia="es-CO"/>
        </w:rPr>
      </w:pPr>
    </w:p>
    <w:p w14:paraId="7A53C593"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eastAsia="es-CO"/>
        </w:rPr>
        <w:t xml:space="preserve">Las comunicaciones fueron las siguientes: </w:t>
      </w:r>
    </w:p>
    <w:p w14:paraId="7ACF947B"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p>
    <w:p w14:paraId="08802B19" w14:textId="77777777" w:rsidR="00932E91" w:rsidRPr="00F7314C" w:rsidRDefault="00932E91" w:rsidP="00932E91">
      <w:pPr>
        <w:pStyle w:val="Textonotapie"/>
        <w:numPr>
          <w:ilvl w:val="0"/>
          <w:numId w:val="33"/>
        </w:numPr>
        <w:jc w:val="both"/>
        <w:rPr>
          <w:rFonts w:cs="Arial"/>
          <w:bCs/>
          <w:iCs/>
          <w:sz w:val="20"/>
          <w:lang w:eastAsia="es-CO"/>
        </w:rPr>
      </w:pPr>
      <w:r w:rsidRPr="00F7314C">
        <w:rPr>
          <w:rFonts w:cs="Arial"/>
          <w:bCs/>
          <w:iCs/>
          <w:sz w:val="20"/>
          <w:lang w:eastAsia="es-CO"/>
        </w:rPr>
        <w:t>Radicado SSPD 20174210032211 dirigido a la Empresa de Acueducto, Alcantarillado y Aseo de Bogotá E.S.P.</w:t>
      </w:r>
    </w:p>
    <w:p w14:paraId="38020DAA" w14:textId="77777777" w:rsidR="00932E91" w:rsidRPr="00F7314C" w:rsidRDefault="00932E91" w:rsidP="00932E91">
      <w:pPr>
        <w:pStyle w:val="Textonotapie"/>
        <w:numPr>
          <w:ilvl w:val="0"/>
          <w:numId w:val="33"/>
        </w:numPr>
        <w:jc w:val="both"/>
        <w:rPr>
          <w:rFonts w:cs="Arial"/>
          <w:bCs/>
          <w:iCs/>
          <w:sz w:val="20"/>
          <w:lang w:eastAsia="es-CO"/>
        </w:rPr>
      </w:pPr>
      <w:r w:rsidRPr="00F7314C">
        <w:rPr>
          <w:rFonts w:cs="Arial"/>
          <w:bCs/>
          <w:iCs/>
          <w:sz w:val="20"/>
          <w:lang w:eastAsia="es-CO"/>
        </w:rPr>
        <w:lastRenderedPageBreak/>
        <w:t>Radicado SSPD 20174210032071 dirigido a la Sociedad de Acueducto, Alcantarillado y Aseo de Barranquilla S.A. E.S.P.</w:t>
      </w:r>
    </w:p>
    <w:p w14:paraId="41D2F359" w14:textId="77777777" w:rsidR="00932E91" w:rsidRPr="00F7314C" w:rsidRDefault="00932E91" w:rsidP="00932E91">
      <w:pPr>
        <w:pStyle w:val="Textonotapie"/>
        <w:numPr>
          <w:ilvl w:val="0"/>
          <w:numId w:val="33"/>
        </w:numPr>
        <w:jc w:val="both"/>
        <w:rPr>
          <w:rFonts w:cs="Arial"/>
          <w:bCs/>
          <w:iCs/>
          <w:sz w:val="20"/>
          <w:lang w:eastAsia="es-CO"/>
        </w:rPr>
      </w:pPr>
      <w:r w:rsidRPr="00F7314C">
        <w:rPr>
          <w:rFonts w:cs="Arial"/>
          <w:bCs/>
          <w:iCs/>
          <w:sz w:val="20"/>
          <w:lang w:eastAsia="es-CO"/>
        </w:rPr>
        <w:t>Radicado SSPD 20174210032401 dirigido a la Empresa de Obras Sanitarias de Pasto EMPOPASTO S.A. E.S.P.</w:t>
      </w:r>
    </w:p>
    <w:p w14:paraId="54CE66D6" w14:textId="77777777" w:rsidR="00932E91" w:rsidRPr="00F7314C" w:rsidRDefault="00932E91" w:rsidP="00932E91">
      <w:pPr>
        <w:pStyle w:val="Textonotapie"/>
        <w:numPr>
          <w:ilvl w:val="0"/>
          <w:numId w:val="33"/>
        </w:numPr>
        <w:jc w:val="both"/>
        <w:rPr>
          <w:rFonts w:cs="Arial"/>
          <w:bCs/>
          <w:iCs/>
          <w:sz w:val="20"/>
          <w:lang w:eastAsia="es-CO"/>
        </w:rPr>
      </w:pPr>
      <w:r w:rsidRPr="00F7314C">
        <w:rPr>
          <w:rFonts w:cs="Arial"/>
          <w:bCs/>
          <w:iCs/>
          <w:sz w:val="20"/>
          <w:lang w:eastAsia="es-CO"/>
        </w:rPr>
        <w:t>Radicado SSPD 20174210032261 dirigido a la Empresas Públicas de Medellín E.S.P.</w:t>
      </w:r>
    </w:p>
    <w:p w14:paraId="0D4C00DA" w14:textId="77777777" w:rsidR="00932E91" w:rsidRPr="00F7314C" w:rsidRDefault="00932E91" w:rsidP="00932E91">
      <w:pPr>
        <w:pStyle w:val="Textonotapie"/>
        <w:numPr>
          <w:ilvl w:val="0"/>
          <w:numId w:val="33"/>
        </w:numPr>
        <w:jc w:val="both"/>
        <w:rPr>
          <w:rFonts w:cs="Arial"/>
          <w:bCs/>
          <w:iCs/>
          <w:sz w:val="20"/>
          <w:lang w:eastAsia="es-CO"/>
        </w:rPr>
      </w:pPr>
      <w:r w:rsidRPr="00F7314C">
        <w:rPr>
          <w:rFonts w:cs="Arial"/>
          <w:bCs/>
          <w:iCs/>
          <w:sz w:val="20"/>
          <w:lang w:eastAsia="es-CO"/>
        </w:rPr>
        <w:t>Radicado SSPD 20174210032421 dirigido a la Empresa de Acueducto y Alcantarillado de Villavicencio E.S.P.</w:t>
      </w:r>
    </w:p>
    <w:p w14:paraId="37C96E42" w14:textId="77777777" w:rsidR="00932E91" w:rsidRPr="00F7314C" w:rsidRDefault="00932E91" w:rsidP="00932E91">
      <w:pPr>
        <w:pStyle w:val="Textonotapie"/>
        <w:numPr>
          <w:ilvl w:val="0"/>
          <w:numId w:val="33"/>
        </w:numPr>
        <w:jc w:val="both"/>
        <w:rPr>
          <w:rFonts w:cs="Arial"/>
          <w:bCs/>
          <w:iCs/>
          <w:sz w:val="20"/>
          <w:lang w:eastAsia="es-CO"/>
        </w:rPr>
      </w:pPr>
      <w:r w:rsidRPr="00F7314C">
        <w:rPr>
          <w:rFonts w:cs="Arial"/>
          <w:bCs/>
          <w:iCs/>
          <w:sz w:val="20"/>
          <w:lang w:eastAsia="es-CO"/>
        </w:rPr>
        <w:t>Radicado SSPD 20174210032251 dirigido a Aguas de Manizales S.A. E.S.P.</w:t>
      </w:r>
    </w:p>
    <w:p w14:paraId="4597A342" w14:textId="77777777" w:rsidR="00932E91" w:rsidRPr="00F7314C" w:rsidRDefault="00932E91" w:rsidP="00932E91">
      <w:pPr>
        <w:pStyle w:val="Textonotapie"/>
        <w:numPr>
          <w:ilvl w:val="0"/>
          <w:numId w:val="33"/>
        </w:numPr>
        <w:jc w:val="both"/>
        <w:rPr>
          <w:rFonts w:cs="Arial"/>
          <w:bCs/>
          <w:iCs/>
          <w:sz w:val="20"/>
          <w:lang w:eastAsia="es-CO"/>
        </w:rPr>
      </w:pPr>
      <w:r w:rsidRPr="00F7314C">
        <w:rPr>
          <w:rFonts w:cs="Arial"/>
          <w:bCs/>
          <w:iCs/>
          <w:sz w:val="20"/>
          <w:lang w:eastAsia="es-CO"/>
        </w:rPr>
        <w:t>Radicado SSPD 20174210032411 dirigido a Proactiva Aguas de Tunja S.A. E.S.P.</w:t>
      </w:r>
    </w:p>
    <w:p w14:paraId="655EE72D" w14:textId="77777777" w:rsidR="00932E91" w:rsidRPr="00F7314C" w:rsidRDefault="00932E91" w:rsidP="00932E91">
      <w:pPr>
        <w:pStyle w:val="Textonotapie"/>
        <w:numPr>
          <w:ilvl w:val="0"/>
          <w:numId w:val="33"/>
        </w:numPr>
        <w:jc w:val="both"/>
        <w:rPr>
          <w:rFonts w:cs="Arial"/>
          <w:bCs/>
          <w:iCs/>
          <w:sz w:val="20"/>
          <w:lang w:eastAsia="es-CO"/>
        </w:rPr>
      </w:pPr>
      <w:r w:rsidRPr="00F7314C">
        <w:rPr>
          <w:rFonts w:cs="Arial"/>
          <w:bCs/>
          <w:iCs/>
          <w:sz w:val="20"/>
          <w:lang w:eastAsia="es-CO"/>
        </w:rPr>
        <w:t>Radicado SSPD 20174210032391 dirigido a Empresas Publicas de Neiva E.S.P.</w:t>
      </w:r>
    </w:p>
    <w:p w14:paraId="04D79F24" w14:textId="77777777" w:rsidR="00932E91" w:rsidRPr="00F7314C" w:rsidRDefault="00932E91" w:rsidP="00932E91">
      <w:pPr>
        <w:pStyle w:val="Prrafodelista"/>
        <w:numPr>
          <w:ilvl w:val="0"/>
          <w:numId w:val="33"/>
        </w:num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eastAsia="es-CO"/>
        </w:rPr>
        <w:t>Radicado SSPD 20174210032231 dirigido a CENTROAGUAS S.A. E.S.P.</w:t>
      </w:r>
    </w:p>
    <w:p w14:paraId="5F00C9DF"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p>
    <w:p w14:paraId="3C4D46C7"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val="es-MX" w:eastAsia="es-CO"/>
        </w:rPr>
      </w:pPr>
      <w:r w:rsidRPr="00F7314C">
        <w:rPr>
          <w:rFonts w:ascii="Arial" w:hAnsi="Arial" w:cs="Arial"/>
          <w:bCs/>
          <w:iCs/>
          <w:sz w:val="20"/>
          <w:szCs w:val="20"/>
          <w:lang w:val="es-MX" w:eastAsia="es-CO"/>
        </w:rPr>
        <w:t xml:space="preserve">Con base en los traslados e inclusiones de los costos remitidos por las personas prestadoras que </w:t>
      </w:r>
      <w:r w:rsidRPr="00F7314C">
        <w:rPr>
          <w:rFonts w:ascii="Arial" w:hAnsi="Arial" w:cs="Arial"/>
          <w:bCs/>
          <w:iCs/>
          <w:sz w:val="20"/>
          <w:szCs w:val="20"/>
          <w:lang w:eastAsia="es-CO"/>
        </w:rPr>
        <w:t>cumplieron con los requisitos necesarios para aplicar la metodología DEA</w:t>
      </w:r>
      <w:r w:rsidRPr="00F7314C">
        <w:rPr>
          <w:rFonts w:ascii="Arial" w:hAnsi="Arial" w:cs="Arial"/>
          <w:bCs/>
          <w:iCs/>
          <w:sz w:val="20"/>
          <w:szCs w:val="20"/>
          <w:lang w:val="es-MX" w:eastAsia="es-CO"/>
        </w:rPr>
        <w:t xml:space="preserve"> y con la información de las variables administrativas y operativas publicadas en la </w:t>
      </w:r>
      <w:r w:rsidRPr="00EB23D8">
        <w:rPr>
          <w:rFonts w:ascii="Arial" w:hAnsi="Arial" w:cs="Arial"/>
          <w:bCs/>
          <w:iCs/>
          <w:sz w:val="20"/>
          <w:szCs w:val="20"/>
          <w:lang w:val="es-MX" w:eastAsia="es-CO"/>
        </w:rPr>
        <w:t xml:space="preserve">Resolución CRA 782 de 2016, con datos atípicos debidamente justificados, se </w:t>
      </w:r>
      <w:r w:rsidRPr="00EB23D8">
        <w:rPr>
          <w:rFonts w:ascii="Arial" w:hAnsi="Arial" w:cs="Arial"/>
          <w:bCs/>
          <w:iCs/>
          <w:sz w:val="20"/>
          <w:szCs w:val="20"/>
          <w:lang w:eastAsia="es-CO"/>
        </w:rPr>
        <w:t xml:space="preserve">aplicó la metodología DEA. </w:t>
      </w:r>
      <w:r w:rsidR="00D75887" w:rsidRPr="00EB23D8">
        <w:rPr>
          <w:rFonts w:ascii="Arial" w:hAnsi="Arial" w:cs="Arial"/>
          <w:bCs/>
          <w:iCs/>
          <w:sz w:val="20"/>
          <w:szCs w:val="20"/>
          <w:lang w:eastAsia="es-CO"/>
        </w:rPr>
        <w:t>La información del análisis realizado por esta Comisión de Regulación de las justificaciones remitidas se encuentra</w:t>
      </w:r>
      <w:r w:rsidR="0000293C" w:rsidRPr="00EB23D8">
        <w:rPr>
          <w:rFonts w:ascii="Arial" w:hAnsi="Arial" w:cs="Arial"/>
          <w:bCs/>
          <w:iCs/>
          <w:sz w:val="20"/>
          <w:szCs w:val="20"/>
          <w:lang w:eastAsia="es-CO"/>
        </w:rPr>
        <w:t xml:space="preserve"> en el documento de trabajo de la metodología del puntaje DEA</w:t>
      </w:r>
      <w:r w:rsidRPr="00EB23D8">
        <w:rPr>
          <w:rFonts w:ascii="Arial" w:hAnsi="Arial" w:cs="Arial"/>
          <w:bCs/>
          <w:iCs/>
          <w:sz w:val="20"/>
          <w:szCs w:val="20"/>
          <w:lang w:eastAsia="es-CO"/>
        </w:rPr>
        <w:t>.</w:t>
      </w:r>
    </w:p>
    <w:p w14:paraId="7BA1272B"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val="es-MX" w:eastAsia="es-CO"/>
        </w:rPr>
      </w:pPr>
    </w:p>
    <w:p w14:paraId="70688585" w14:textId="77777777" w:rsidR="00932E91" w:rsidRPr="00F7314C" w:rsidRDefault="00932E91" w:rsidP="00932E91">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val="es-MX" w:eastAsia="es-CO"/>
        </w:rPr>
        <w:t xml:space="preserve">Con la información de las </w:t>
      </w:r>
      <w:r w:rsidRPr="00F7314C">
        <w:rPr>
          <w:rFonts w:ascii="Arial" w:hAnsi="Arial" w:cs="Arial"/>
          <w:bCs/>
          <w:iCs/>
          <w:sz w:val="20"/>
          <w:szCs w:val="20"/>
          <w:lang w:eastAsia="es-CO"/>
        </w:rPr>
        <w:t xml:space="preserve">nueve (9) personas prestadoras que cumplieron con toda la información y requisitos se aplicó la metodología DEA y </w:t>
      </w:r>
      <w:r w:rsidRPr="00F7314C">
        <w:rPr>
          <w:rFonts w:ascii="Arial" w:hAnsi="Arial" w:cs="Arial"/>
          <w:bCs/>
          <w:iCs/>
          <w:sz w:val="20"/>
          <w:szCs w:val="20"/>
          <w:lang w:val="es-MX" w:eastAsia="es-CO"/>
        </w:rPr>
        <w:t>se expidió la Resolución CRA</w:t>
      </w:r>
      <w:r w:rsidRPr="00F7314C">
        <w:rPr>
          <w:rFonts w:ascii="Arial" w:hAnsi="Arial" w:cs="Arial"/>
          <w:bCs/>
          <w:iCs/>
          <w:sz w:val="20"/>
          <w:szCs w:val="20"/>
          <w:lang w:eastAsia="es-CO"/>
        </w:rPr>
        <w:t xml:space="preserve"> 791 de 2017,</w:t>
      </w:r>
      <w:r w:rsidRPr="00F7314C">
        <w:rPr>
          <w:rFonts w:ascii="Arial" w:hAnsi="Arial" w:cs="Arial"/>
          <w:bCs/>
          <w:iCs/>
          <w:sz w:val="20"/>
          <w:szCs w:val="20"/>
          <w:lang w:val="es-MX" w:eastAsia="es-CO"/>
        </w:rPr>
        <w:t xml:space="preserve"> </w:t>
      </w:r>
      <w:r w:rsidRPr="00F7314C">
        <w:rPr>
          <w:rFonts w:ascii="Arial" w:hAnsi="Arial" w:cs="Arial"/>
          <w:bCs/>
          <w:iCs/>
          <w:sz w:val="20"/>
          <w:szCs w:val="20"/>
          <w:lang w:eastAsia="es-CO"/>
        </w:rPr>
        <w:t>por medio de la cual la Comisión de Regulación de Agua Potable y Saneamiento Básico presentó para participación ciudadana, el proyecto de Resolución</w:t>
      </w:r>
      <w:r w:rsidRPr="00F7314C">
        <w:rPr>
          <w:rFonts w:ascii="Arial" w:hAnsi="Arial" w:cs="Arial"/>
          <w:bCs/>
          <w:i/>
          <w:iCs/>
          <w:sz w:val="20"/>
          <w:szCs w:val="20"/>
          <w:lang w:eastAsia="es-CO"/>
        </w:rPr>
        <w:t xml:space="preserve"> ‘Por la cual se presentan las variables que conforman los modelos de eficiencia establecidos en la Resolución CRA 688 de 2014, para determinar los puntajes de eficiencia comparativa PDEA y se dictan otras disposiciones’, e inició el proceso de discusión directa con los usuarios y agentes del sector”</w:t>
      </w:r>
      <w:r w:rsidRPr="00F7314C">
        <w:rPr>
          <w:rFonts w:ascii="Arial" w:hAnsi="Arial" w:cs="Arial"/>
          <w:bCs/>
          <w:iCs/>
          <w:sz w:val="20"/>
          <w:szCs w:val="20"/>
          <w:lang w:eastAsia="es-CO"/>
        </w:rPr>
        <w:t>, durante el término de quince (15) días hábiles, tal como lo señaló el artículo segundo</w:t>
      </w:r>
      <w:r>
        <w:rPr>
          <w:rFonts w:ascii="Arial" w:hAnsi="Arial" w:cs="Arial"/>
          <w:bCs/>
          <w:iCs/>
          <w:sz w:val="20"/>
          <w:szCs w:val="20"/>
          <w:lang w:eastAsia="es-CO"/>
        </w:rPr>
        <w:t xml:space="preserve"> de la resolución</w:t>
      </w:r>
      <w:r w:rsidRPr="00F7314C">
        <w:rPr>
          <w:rFonts w:ascii="Arial" w:hAnsi="Arial" w:cs="Arial"/>
          <w:bCs/>
          <w:iCs/>
          <w:sz w:val="20"/>
          <w:szCs w:val="20"/>
          <w:lang w:eastAsia="es-CO"/>
        </w:rPr>
        <w:t xml:space="preserve">. La Resolución CRA 791 de 2017 fue </w:t>
      </w:r>
      <w:r w:rsidRPr="00F7314C">
        <w:rPr>
          <w:rFonts w:ascii="Arial" w:hAnsi="Arial" w:cs="Arial"/>
          <w:bCs/>
          <w:iCs/>
          <w:sz w:val="20"/>
          <w:szCs w:val="20"/>
          <w:lang w:val="es-MX" w:eastAsia="es-CO"/>
        </w:rPr>
        <w:t>aprobada en</w:t>
      </w:r>
      <w:r w:rsidRPr="00F7314C">
        <w:rPr>
          <w:rFonts w:ascii="Arial" w:hAnsi="Arial" w:cs="Arial"/>
          <w:bCs/>
          <w:iCs/>
          <w:sz w:val="20"/>
          <w:szCs w:val="20"/>
          <w:lang w:eastAsia="es-CO"/>
        </w:rPr>
        <w:t xml:space="preserve"> sesión de Comisión Ordinaria No. 230 de 21 de abril de 2017 y publicada en el Diario Oficial No. 50.216 del 26 de abril de 2017.</w:t>
      </w:r>
    </w:p>
    <w:p w14:paraId="74D7248B" w14:textId="77777777" w:rsidR="00932E91" w:rsidRPr="00F7314C" w:rsidRDefault="00932E91" w:rsidP="00932E91">
      <w:pPr>
        <w:autoSpaceDE w:val="0"/>
        <w:autoSpaceDN w:val="0"/>
        <w:adjustRightInd w:val="0"/>
        <w:spacing w:after="0" w:line="240" w:lineRule="auto"/>
        <w:jc w:val="both"/>
        <w:rPr>
          <w:rFonts w:ascii="Arial" w:hAnsi="Arial" w:cs="Arial"/>
          <w:bCs/>
          <w:i/>
          <w:iCs/>
          <w:sz w:val="20"/>
          <w:szCs w:val="20"/>
          <w:lang w:eastAsia="es-CO"/>
        </w:rPr>
      </w:pPr>
      <w:r w:rsidRPr="00F7314C">
        <w:rPr>
          <w:rFonts w:ascii="Arial" w:hAnsi="Arial" w:cs="Arial"/>
          <w:bCs/>
          <w:i/>
          <w:iCs/>
          <w:sz w:val="20"/>
          <w:szCs w:val="20"/>
          <w:lang w:eastAsia="es-CO"/>
        </w:rPr>
        <w:t xml:space="preserve"> </w:t>
      </w:r>
    </w:p>
    <w:p w14:paraId="7CA1D19E" w14:textId="77777777" w:rsidR="00932E91" w:rsidRDefault="00932E91" w:rsidP="00932E91">
      <w:pPr>
        <w:spacing w:after="0" w:line="240" w:lineRule="auto"/>
        <w:jc w:val="both"/>
        <w:rPr>
          <w:rFonts w:ascii="Arial" w:hAnsi="Arial" w:cs="Arial"/>
          <w:sz w:val="20"/>
          <w:szCs w:val="20"/>
          <w:lang w:val="es-CO" w:eastAsia="es-CO"/>
        </w:rPr>
      </w:pPr>
      <w:r w:rsidRPr="00F7314C">
        <w:rPr>
          <w:rFonts w:ascii="Arial" w:hAnsi="Arial" w:cs="Arial"/>
          <w:bCs/>
          <w:iCs/>
          <w:sz w:val="20"/>
          <w:szCs w:val="20"/>
          <w:lang w:eastAsia="es-CO"/>
        </w:rPr>
        <w:t>Teniendo en cuenta las solicitudes de ampliación de plazo recibidas, la Comisión de Regulación de Agua Potable y Saneamiento Básico expidió la Resolución CRA 796 de 2017, aprobada en Sesión de Comisión Extraordinaria No. 9 de 16 de mayo de 2017 y publicada en el Diario Oficial No. 50.236 del 17 de mayo de 2017, extendiendo el periodo de participación ciudadana de la Resolución CRA 791 de 2017 hasta el 4 de julio de 2017.</w:t>
      </w:r>
    </w:p>
    <w:p w14:paraId="66F3949B" w14:textId="77777777" w:rsidR="00932E91" w:rsidRDefault="00932E91" w:rsidP="00106097">
      <w:pPr>
        <w:spacing w:after="0" w:line="240" w:lineRule="auto"/>
        <w:jc w:val="both"/>
        <w:rPr>
          <w:rFonts w:ascii="Arial" w:hAnsi="Arial" w:cs="Arial"/>
          <w:sz w:val="20"/>
          <w:szCs w:val="20"/>
          <w:lang w:val="es-CO" w:eastAsia="es-CO"/>
        </w:rPr>
      </w:pPr>
    </w:p>
    <w:p w14:paraId="2998E20A" w14:textId="77777777" w:rsidR="00B37730" w:rsidRPr="002A470D" w:rsidRDefault="00D75887" w:rsidP="00106097">
      <w:pPr>
        <w:spacing w:after="0" w:line="240" w:lineRule="auto"/>
        <w:jc w:val="both"/>
        <w:rPr>
          <w:rFonts w:ascii="Arial" w:hAnsi="Arial" w:cs="Arial"/>
          <w:sz w:val="20"/>
          <w:szCs w:val="20"/>
          <w:lang w:val="es-CO" w:eastAsia="es-CO"/>
        </w:rPr>
      </w:pPr>
      <w:r w:rsidRPr="002A470D">
        <w:rPr>
          <w:rFonts w:ascii="Arial" w:hAnsi="Arial" w:cs="Arial"/>
          <w:sz w:val="20"/>
          <w:szCs w:val="20"/>
          <w:lang w:val="es-CO" w:eastAsia="es-CO"/>
        </w:rPr>
        <w:t xml:space="preserve">Por otra parte, se aclara que </w:t>
      </w:r>
      <w:r w:rsidR="00DE4159" w:rsidRPr="002A470D">
        <w:rPr>
          <w:rFonts w:ascii="Arial" w:hAnsi="Arial" w:cs="Arial"/>
          <w:sz w:val="20"/>
          <w:szCs w:val="20"/>
          <w:lang w:val="es-CO" w:eastAsia="es-CO"/>
        </w:rPr>
        <w:t>en la resolución definitiva se establecerá una fecha de aplicación de las nuevas tarifas que otorgue un plazo para que los que no entraron en el grupo básico</w:t>
      </w:r>
      <w:r w:rsidRPr="002A470D">
        <w:rPr>
          <w:rFonts w:ascii="Arial" w:hAnsi="Arial" w:cs="Arial"/>
          <w:sz w:val="20"/>
          <w:szCs w:val="20"/>
          <w:lang w:val="es-CO" w:eastAsia="es-CO"/>
        </w:rPr>
        <w:t xml:space="preserve">, </w:t>
      </w:r>
      <w:r w:rsidR="00DE4159" w:rsidRPr="002A470D">
        <w:rPr>
          <w:rFonts w:ascii="Arial" w:hAnsi="Arial" w:cs="Arial"/>
          <w:sz w:val="20"/>
          <w:szCs w:val="20"/>
          <w:lang w:val="es-CO" w:eastAsia="es-CO"/>
        </w:rPr>
        <w:t xml:space="preserve">cumplan </w:t>
      </w:r>
      <w:r w:rsidRPr="002A470D">
        <w:rPr>
          <w:rFonts w:ascii="Arial" w:hAnsi="Arial" w:cs="Arial"/>
          <w:sz w:val="20"/>
          <w:szCs w:val="20"/>
        </w:rPr>
        <w:t>con los parámetros mínimos establecidos en el numeral 1 del Anexo II de la Resolución CRA 688 de 2014 y presenten las justificaciones correspondientes a los datos atípicos encontrados en la información para el cálculo del P</w:t>
      </w:r>
      <w:r w:rsidRPr="002A470D">
        <w:rPr>
          <w:rFonts w:ascii="Arial" w:hAnsi="Arial" w:cs="Arial"/>
          <w:sz w:val="20"/>
          <w:szCs w:val="20"/>
          <w:vertAlign w:val="subscript"/>
        </w:rPr>
        <w:t>DEA</w:t>
      </w:r>
      <w:r w:rsidRPr="002A470D">
        <w:rPr>
          <w:rFonts w:ascii="Arial" w:hAnsi="Arial" w:cs="Arial"/>
          <w:sz w:val="20"/>
          <w:szCs w:val="20"/>
        </w:rPr>
        <w:t xml:space="preserve"> en el periodo 2010-2014</w:t>
      </w:r>
      <w:r w:rsidR="00DE4159" w:rsidRPr="002A470D">
        <w:rPr>
          <w:rFonts w:ascii="Arial" w:hAnsi="Arial" w:cs="Arial"/>
          <w:sz w:val="20"/>
          <w:szCs w:val="20"/>
          <w:lang w:val="es-CO" w:eastAsia="es-CO"/>
        </w:rPr>
        <w:t>, puedan hacer la solicitud particular de cálculo del DEA.</w:t>
      </w:r>
    </w:p>
    <w:p w14:paraId="69246A67" w14:textId="77777777" w:rsidR="00DE4159" w:rsidRDefault="00DE4159" w:rsidP="00106097">
      <w:pPr>
        <w:spacing w:after="0" w:line="240" w:lineRule="auto"/>
        <w:jc w:val="both"/>
        <w:rPr>
          <w:rFonts w:ascii="Arial" w:hAnsi="Arial" w:cs="Arial"/>
          <w:sz w:val="20"/>
          <w:szCs w:val="20"/>
          <w:highlight w:val="yellow"/>
          <w:lang w:val="es-CO" w:eastAsia="es-CO"/>
        </w:rPr>
      </w:pPr>
    </w:p>
    <w:p w14:paraId="3512EA47" w14:textId="77777777" w:rsidR="00D75887" w:rsidRDefault="002A470D" w:rsidP="00106097">
      <w:pPr>
        <w:spacing w:after="0" w:line="240" w:lineRule="auto"/>
        <w:jc w:val="both"/>
        <w:rPr>
          <w:rFonts w:ascii="Arial" w:hAnsi="Arial" w:cs="Arial"/>
          <w:sz w:val="20"/>
          <w:szCs w:val="20"/>
          <w:highlight w:val="yellow"/>
          <w:lang w:val="es-CO" w:eastAsia="es-CO"/>
        </w:rPr>
      </w:pPr>
      <w:r>
        <w:rPr>
          <w:rFonts w:ascii="Arial" w:eastAsia="Times New Roman" w:hAnsi="Arial" w:cs="Arial"/>
          <w:sz w:val="20"/>
          <w:szCs w:val="20"/>
        </w:rPr>
        <w:t>En otro orden de ideas, en relación con los puntajes obtenidos por las personas prestadoras de acueducto y alcantarillado, se recuerda que el</w:t>
      </w:r>
      <w:r w:rsidRPr="00225463">
        <w:rPr>
          <w:rFonts w:ascii="Arial" w:eastAsia="Times New Roman" w:hAnsi="Arial" w:cs="Arial"/>
          <w:sz w:val="20"/>
          <w:szCs w:val="20"/>
        </w:rPr>
        <w:t xml:space="preserve"> </w:t>
      </w:r>
      <w:r w:rsidRPr="00225463">
        <w:rPr>
          <w:rFonts w:ascii="Arial" w:hAnsi="Arial" w:cs="Arial"/>
          <w:sz w:val="20"/>
          <w:szCs w:val="20"/>
        </w:rPr>
        <w:t>Análisis Envolvente de Datos (DEA)</w:t>
      </w:r>
      <w:r>
        <w:rPr>
          <w:rFonts w:ascii="Arial" w:hAnsi="Arial" w:cs="Arial"/>
          <w:sz w:val="20"/>
          <w:szCs w:val="20"/>
        </w:rPr>
        <w:t xml:space="preserve"> e</w:t>
      </w:r>
      <w:r w:rsidRPr="002A4A0F">
        <w:rPr>
          <w:rFonts w:ascii="Arial" w:hAnsi="Arial" w:cs="Arial"/>
          <w:sz w:val="20"/>
          <w:szCs w:val="20"/>
        </w:rPr>
        <w:t xml:space="preserve">s una técnica que permite medir la eficiencia </w:t>
      </w:r>
      <w:r w:rsidRPr="00A016F3">
        <w:rPr>
          <w:rFonts w:ascii="Arial" w:hAnsi="Arial" w:cs="Arial"/>
          <w:sz w:val="20"/>
          <w:szCs w:val="20"/>
        </w:rPr>
        <w:t>relativa</w:t>
      </w:r>
      <w:r w:rsidRPr="00E459A4">
        <w:rPr>
          <w:rStyle w:val="Refdenotaalpie"/>
          <w:rFonts w:ascii="Arial" w:hAnsi="Arial" w:cs="Arial"/>
          <w:sz w:val="20"/>
          <w:szCs w:val="20"/>
        </w:rPr>
        <w:footnoteReference w:id="30"/>
      </w:r>
      <w:r w:rsidRPr="00E459A4">
        <w:rPr>
          <w:rFonts w:ascii="Arial" w:hAnsi="Arial" w:cs="Arial"/>
          <w:sz w:val="20"/>
          <w:szCs w:val="20"/>
        </w:rPr>
        <w:t xml:space="preserve"> entre empresas por medio de la comparación entre ellas, en presencia </w:t>
      </w:r>
      <w:r w:rsidRPr="002A4A0F">
        <w:rPr>
          <w:rFonts w:ascii="Arial" w:hAnsi="Arial" w:cs="Arial"/>
          <w:sz w:val="20"/>
          <w:szCs w:val="20"/>
        </w:rPr>
        <w:t xml:space="preserve">de insumos requeridos para generar productos. </w:t>
      </w:r>
      <w:r>
        <w:rPr>
          <w:rFonts w:ascii="Arial" w:hAnsi="Arial" w:cs="Arial"/>
          <w:sz w:val="20"/>
          <w:szCs w:val="20"/>
        </w:rPr>
        <w:t>L</w:t>
      </w:r>
      <w:r w:rsidRPr="002A4A0F">
        <w:rPr>
          <w:rFonts w:ascii="Arial" w:hAnsi="Arial" w:cs="Arial"/>
          <w:sz w:val="20"/>
          <w:szCs w:val="20"/>
        </w:rPr>
        <w:t xml:space="preserve">a eficiencia de las empresas se refiere a la obtención de un número determinado de productos con el mínimo de insumos disponibles (minimización de insumos), o también </w:t>
      </w:r>
      <w:r w:rsidRPr="00A016F3">
        <w:rPr>
          <w:rFonts w:ascii="Arial" w:hAnsi="Arial" w:cs="Arial"/>
          <w:sz w:val="20"/>
          <w:szCs w:val="20"/>
        </w:rPr>
        <w:t>como la obtención de la máxima cantidad de productos con el mismo conjunto de insumos (maximización de productos).</w:t>
      </w:r>
    </w:p>
    <w:p w14:paraId="31B27F1C" w14:textId="77777777" w:rsidR="00D75887" w:rsidRDefault="00D75887" w:rsidP="00106097">
      <w:pPr>
        <w:spacing w:after="0" w:line="240" w:lineRule="auto"/>
        <w:jc w:val="both"/>
        <w:rPr>
          <w:rFonts w:ascii="Arial" w:hAnsi="Arial" w:cs="Arial"/>
          <w:sz w:val="20"/>
          <w:szCs w:val="20"/>
          <w:highlight w:val="yellow"/>
          <w:lang w:val="es-CO" w:eastAsia="es-CO"/>
        </w:rPr>
      </w:pPr>
    </w:p>
    <w:p w14:paraId="27C31C6E" w14:textId="77777777" w:rsidR="00DE4159" w:rsidRDefault="002A470D" w:rsidP="00106097">
      <w:pPr>
        <w:spacing w:after="0" w:line="240" w:lineRule="auto"/>
        <w:jc w:val="both"/>
        <w:rPr>
          <w:rFonts w:ascii="Arial" w:hAnsi="Arial" w:cs="Arial"/>
          <w:sz w:val="20"/>
          <w:szCs w:val="20"/>
        </w:rPr>
      </w:pPr>
      <w:r w:rsidRPr="002A470D">
        <w:rPr>
          <w:rFonts w:ascii="Arial" w:hAnsi="Arial" w:cs="Arial"/>
          <w:sz w:val="20"/>
          <w:szCs w:val="20"/>
          <w:lang w:val="es-CO" w:eastAsia="es-CO"/>
        </w:rPr>
        <w:t>Así las cosas, e</w:t>
      </w:r>
      <w:r w:rsidR="00DE4159" w:rsidRPr="002A470D">
        <w:rPr>
          <w:rFonts w:ascii="Arial" w:hAnsi="Arial" w:cs="Arial"/>
          <w:sz w:val="20"/>
          <w:szCs w:val="20"/>
          <w:lang w:val="es-CO" w:eastAsia="es-CO"/>
        </w:rPr>
        <w:t>l DEA no tiene como objetivo que todas las empresas tenga un puntaje de 100%</w:t>
      </w:r>
      <w:r w:rsidRPr="002A470D">
        <w:rPr>
          <w:rFonts w:ascii="Arial" w:hAnsi="Arial" w:cs="Arial"/>
          <w:sz w:val="20"/>
          <w:szCs w:val="20"/>
          <w:lang w:val="es-CO" w:eastAsia="es-CO"/>
        </w:rPr>
        <w:t xml:space="preserve">, si no </w:t>
      </w:r>
      <w:r>
        <w:rPr>
          <w:rFonts w:ascii="Arial" w:hAnsi="Arial" w:cs="Arial"/>
          <w:sz w:val="20"/>
          <w:szCs w:val="20"/>
          <w:lang w:val="es-CO" w:eastAsia="es-CO"/>
        </w:rPr>
        <w:t xml:space="preserve">que </w:t>
      </w:r>
      <w:r w:rsidRPr="00E459A4">
        <w:rPr>
          <w:rFonts w:ascii="Arial" w:hAnsi="Arial" w:cs="Arial"/>
          <w:sz w:val="20"/>
          <w:szCs w:val="20"/>
        </w:rPr>
        <w:t>permite optimizar o buscar el óptimo de eficiencia</w:t>
      </w:r>
      <w:r>
        <w:rPr>
          <w:rFonts w:ascii="Arial" w:hAnsi="Arial" w:cs="Arial"/>
          <w:sz w:val="20"/>
          <w:szCs w:val="20"/>
        </w:rPr>
        <w:t xml:space="preserve"> entre las empresas que conforman el grupo básico.</w:t>
      </w:r>
    </w:p>
    <w:p w14:paraId="032677D7" w14:textId="77777777" w:rsidR="002A470D" w:rsidRPr="0000293C" w:rsidRDefault="002A470D" w:rsidP="00106097">
      <w:pPr>
        <w:spacing w:after="0" w:line="240" w:lineRule="auto"/>
        <w:jc w:val="both"/>
        <w:rPr>
          <w:rFonts w:ascii="Arial" w:hAnsi="Arial" w:cs="Arial"/>
          <w:sz w:val="20"/>
          <w:szCs w:val="20"/>
          <w:highlight w:val="yellow"/>
          <w:lang w:val="es-CO" w:eastAsia="es-CO"/>
        </w:rPr>
      </w:pPr>
    </w:p>
    <w:p w14:paraId="75D01858" w14:textId="64D0FFD2" w:rsidR="00DE4159" w:rsidRPr="002F4DBE" w:rsidRDefault="002A470D" w:rsidP="00106097">
      <w:pPr>
        <w:spacing w:after="0" w:line="240" w:lineRule="auto"/>
        <w:jc w:val="both"/>
        <w:rPr>
          <w:rFonts w:ascii="Arial" w:hAnsi="Arial" w:cs="Arial"/>
          <w:sz w:val="20"/>
          <w:szCs w:val="20"/>
          <w:lang w:val="es-CO" w:eastAsia="es-CO"/>
        </w:rPr>
      </w:pPr>
      <w:r w:rsidRPr="002F4DBE">
        <w:rPr>
          <w:rFonts w:ascii="Arial" w:hAnsi="Arial" w:cs="Arial"/>
          <w:sz w:val="20"/>
          <w:szCs w:val="20"/>
          <w:lang w:val="es-CO" w:eastAsia="es-CO"/>
        </w:rPr>
        <w:lastRenderedPageBreak/>
        <w:t>En relación con la disposición de aplicar los valores mínimos de CAU* y COU*</w:t>
      </w:r>
      <w:r w:rsidR="002F4DBE" w:rsidRPr="002F4DBE">
        <w:rPr>
          <w:rFonts w:ascii="Arial" w:hAnsi="Arial" w:cs="Arial"/>
          <w:sz w:val="20"/>
          <w:szCs w:val="20"/>
          <w:lang w:val="es-CO" w:eastAsia="es-CO"/>
        </w:rPr>
        <w:t>,</w:t>
      </w:r>
      <w:r w:rsidRPr="002F4DBE">
        <w:rPr>
          <w:rFonts w:ascii="Arial" w:hAnsi="Arial" w:cs="Arial"/>
          <w:sz w:val="20"/>
          <w:szCs w:val="20"/>
          <w:lang w:val="es-CO" w:eastAsia="es-CO"/>
        </w:rPr>
        <w:t xml:space="preserve"> adaptada en la Resolución CRA 688 de 2014</w:t>
      </w:r>
      <w:r w:rsidR="002F4DBE" w:rsidRPr="002F4DBE">
        <w:rPr>
          <w:rFonts w:ascii="Arial" w:hAnsi="Arial" w:cs="Arial"/>
          <w:sz w:val="20"/>
          <w:szCs w:val="20"/>
          <w:lang w:val="es-CO" w:eastAsia="es-CO"/>
        </w:rPr>
        <w:t xml:space="preserve">, se debe aclarar que el objetivo de la misma </w:t>
      </w:r>
      <w:r w:rsidR="00DE4159" w:rsidRPr="002F4DBE">
        <w:rPr>
          <w:rFonts w:ascii="Arial" w:hAnsi="Arial" w:cs="Arial"/>
          <w:sz w:val="20"/>
          <w:szCs w:val="20"/>
          <w:lang w:val="es-CO" w:eastAsia="es-CO"/>
        </w:rPr>
        <w:t xml:space="preserve">no era el castigar a las </w:t>
      </w:r>
      <w:r w:rsidRPr="002F4DBE">
        <w:rPr>
          <w:rFonts w:ascii="Arial" w:hAnsi="Arial" w:cs="Arial"/>
          <w:sz w:val="20"/>
          <w:szCs w:val="20"/>
          <w:lang w:val="es-CO" w:eastAsia="es-CO"/>
        </w:rPr>
        <w:t>empresas</w:t>
      </w:r>
      <w:r w:rsidR="002F4DBE" w:rsidRPr="002F4DBE">
        <w:rPr>
          <w:rFonts w:ascii="Arial" w:hAnsi="Arial" w:cs="Arial"/>
          <w:sz w:val="20"/>
          <w:szCs w:val="20"/>
          <w:lang w:val="es-CO" w:eastAsia="es-CO"/>
        </w:rPr>
        <w:t xml:space="preserve"> de los servicios públicos domiciliarios de acueducto y alcantarillado</w:t>
      </w:r>
      <w:r w:rsidRPr="002F4DBE">
        <w:rPr>
          <w:rFonts w:ascii="Arial" w:hAnsi="Arial" w:cs="Arial"/>
          <w:sz w:val="20"/>
          <w:szCs w:val="20"/>
          <w:lang w:val="es-CO" w:eastAsia="es-CO"/>
        </w:rPr>
        <w:t>,</w:t>
      </w:r>
      <w:r w:rsidR="00DE4159" w:rsidRPr="002F4DBE">
        <w:rPr>
          <w:rFonts w:ascii="Arial" w:hAnsi="Arial" w:cs="Arial"/>
          <w:sz w:val="20"/>
          <w:szCs w:val="20"/>
          <w:lang w:val="es-CO" w:eastAsia="es-CO"/>
        </w:rPr>
        <w:t xml:space="preserve"> sino que buscaba que todos</w:t>
      </w:r>
      <w:r w:rsidR="002F4DBE" w:rsidRPr="002F4DBE">
        <w:rPr>
          <w:rFonts w:ascii="Arial" w:hAnsi="Arial" w:cs="Arial"/>
          <w:sz w:val="20"/>
          <w:szCs w:val="20"/>
          <w:lang w:val="es-CO" w:eastAsia="es-CO"/>
        </w:rPr>
        <w:t xml:space="preserve"> los prestadores</w:t>
      </w:r>
      <w:r w:rsidR="00DE4159" w:rsidRPr="002F4DBE">
        <w:rPr>
          <w:rFonts w:ascii="Arial" w:hAnsi="Arial" w:cs="Arial"/>
          <w:sz w:val="20"/>
          <w:szCs w:val="20"/>
          <w:lang w:val="es-CO" w:eastAsia="es-CO"/>
        </w:rPr>
        <w:t xml:space="preserve"> cumplieran con los </w:t>
      </w:r>
      <w:r w:rsidR="002F4DBE" w:rsidRPr="002F4DBE">
        <w:rPr>
          <w:rFonts w:ascii="Arial" w:hAnsi="Arial" w:cs="Arial"/>
          <w:sz w:val="20"/>
          <w:szCs w:val="20"/>
          <w:lang w:val="es-CO" w:eastAsia="es-CO"/>
        </w:rPr>
        <w:t>parámetros</w:t>
      </w:r>
      <w:r w:rsidR="00DE4159" w:rsidRPr="002F4DBE">
        <w:rPr>
          <w:rFonts w:ascii="Arial" w:hAnsi="Arial" w:cs="Arial"/>
          <w:sz w:val="20"/>
          <w:szCs w:val="20"/>
          <w:lang w:val="es-CO" w:eastAsia="es-CO"/>
        </w:rPr>
        <w:t xml:space="preserve"> de inclusión para </w:t>
      </w:r>
      <w:r w:rsidR="006E215A">
        <w:rPr>
          <w:rFonts w:ascii="Arial" w:hAnsi="Arial" w:cs="Arial"/>
          <w:sz w:val="20"/>
          <w:szCs w:val="20"/>
          <w:lang w:val="es-CO" w:eastAsia="es-CO"/>
        </w:rPr>
        <w:t>que entraran en el grupo básico, manteniendo un criterio similar al contenido en la m</w:t>
      </w:r>
      <w:r w:rsidR="00DE4159" w:rsidRPr="002F4DBE">
        <w:rPr>
          <w:rFonts w:ascii="Arial" w:hAnsi="Arial" w:cs="Arial"/>
          <w:sz w:val="20"/>
          <w:szCs w:val="20"/>
          <w:lang w:val="es-CO" w:eastAsia="es-CO"/>
        </w:rPr>
        <w:t>etodología de la Resolución CRA 287 de 2004.</w:t>
      </w:r>
    </w:p>
    <w:p w14:paraId="4B42CC60" w14:textId="77777777" w:rsidR="00106097" w:rsidRPr="00106097" w:rsidRDefault="00106097" w:rsidP="00106097">
      <w:pPr>
        <w:spacing w:after="0" w:line="240" w:lineRule="auto"/>
        <w:jc w:val="both"/>
        <w:rPr>
          <w:rFonts w:ascii="Arial" w:hAnsi="Arial" w:cs="Arial"/>
          <w:sz w:val="20"/>
          <w:szCs w:val="20"/>
          <w:lang w:val="es-CO" w:eastAsia="es-CO"/>
        </w:rPr>
      </w:pPr>
    </w:p>
    <w:p w14:paraId="5CA758B6" w14:textId="77777777" w:rsidR="00B37730" w:rsidRDefault="00B37730" w:rsidP="00EE6F59">
      <w:pPr>
        <w:pStyle w:val="Ttulo2"/>
        <w:spacing w:after="100" w:afterAutospacing="1"/>
        <w:jc w:val="both"/>
        <w:rPr>
          <w:rFonts w:cs="Arial"/>
          <w:szCs w:val="20"/>
          <w:lang w:val="es-CO" w:eastAsia="es-CO"/>
        </w:rPr>
      </w:pPr>
      <w:bookmarkStart w:id="40" w:name="_Toc506988588"/>
      <w:r w:rsidRPr="00106097">
        <w:rPr>
          <w:rFonts w:cs="Arial"/>
          <w:szCs w:val="20"/>
        </w:rPr>
        <w:t>RESPUESTA NO.</w:t>
      </w:r>
      <w:r w:rsidRPr="00106097">
        <w:rPr>
          <w:rFonts w:cs="Arial"/>
          <w:szCs w:val="20"/>
        </w:rPr>
        <w:fldChar w:fldCharType="begin"/>
      </w:r>
      <w:r w:rsidRPr="00106097">
        <w:rPr>
          <w:rFonts w:cs="Arial"/>
          <w:szCs w:val="20"/>
        </w:rPr>
        <w:instrText xml:space="preserve"> SEQ RESPUESTA_N. \* ARABIC </w:instrText>
      </w:r>
      <w:r w:rsidRPr="00106097">
        <w:rPr>
          <w:rFonts w:cs="Arial"/>
          <w:szCs w:val="20"/>
        </w:rPr>
        <w:fldChar w:fldCharType="separate"/>
      </w:r>
      <w:r w:rsidRPr="00106097">
        <w:rPr>
          <w:rFonts w:cs="Arial"/>
          <w:noProof/>
          <w:szCs w:val="20"/>
        </w:rPr>
        <w:t>10</w:t>
      </w:r>
      <w:r w:rsidRPr="00106097">
        <w:rPr>
          <w:rFonts w:cs="Arial"/>
          <w:szCs w:val="20"/>
        </w:rPr>
        <w:fldChar w:fldCharType="end"/>
      </w:r>
      <w:r w:rsidRPr="00106097">
        <w:rPr>
          <w:rFonts w:cs="Arial"/>
          <w:szCs w:val="20"/>
        </w:rPr>
        <w:t xml:space="preserve">. </w:t>
      </w:r>
      <w:r w:rsidRPr="00106097">
        <w:rPr>
          <w:rFonts w:cs="Arial"/>
          <w:szCs w:val="20"/>
          <w:lang w:val="es-CO" w:eastAsia="es-CO"/>
        </w:rPr>
        <w:t>PUBLICACIÓN DE PUNTAJES Y DEL DETALLE DE LOS CÁLCULOS</w:t>
      </w:r>
      <w:bookmarkEnd w:id="40"/>
    </w:p>
    <w:p w14:paraId="1B033628" w14:textId="0CC7A9DA" w:rsidR="002A470D" w:rsidRPr="00EE6F59" w:rsidRDefault="00EE6F59" w:rsidP="00EE6F59">
      <w:pPr>
        <w:spacing w:after="100" w:afterAutospacing="1" w:line="240" w:lineRule="auto"/>
        <w:jc w:val="both"/>
        <w:rPr>
          <w:rFonts w:ascii="Arial" w:hAnsi="Arial" w:cs="Arial"/>
          <w:sz w:val="20"/>
          <w:szCs w:val="20"/>
          <w:lang w:val="es-CO" w:eastAsia="es-CO"/>
        </w:rPr>
      </w:pPr>
      <w:r w:rsidRPr="00EE6F59">
        <w:rPr>
          <w:rFonts w:ascii="Arial" w:hAnsi="Arial" w:cs="Arial"/>
          <w:sz w:val="20"/>
          <w:szCs w:val="20"/>
          <w:lang w:val="es-CO" w:eastAsia="es-CO"/>
        </w:rPr>
        <w:t>Se procura por garantizar lo consagrado en el artículo 15 de la Carta Política que contiene una protección especial sobre libros de contabilidad y demás documentos privados de las empresas de servicios públicos domiciliarios, cualquiera sea su naturaleza de pública, privada o mixta, puesto que su régimen jurídico es de derecho privado con las excepciones que se establecen en la misma Ley 142 de 1994. Respecto de lo anterior</w:t>
      </w:r>
      <w:r w:rsidR="006D1321">
        <w:rPr>
          <w:rFonts w:ascii="Arial" w:hAnsi="Arial" w:cs="Arial"/>
          <w:sz w:val="20"/>
          <w:szCs w:val="20"/>
          <w:lang w:val="es-CO" w:eastAsia="es-CO"/>
        </w:rPr>
        <w:t>,</w:t>
      </w:r>
      <w:r w:rsidRPr="00EE6F59">
        <w:rPr>
          <w:rFonts w:ascii="Arial" w:hAnsi="Arial" w:cs="Arial"/>
          <w:sz w:val="20"/>
          <w:szCs w:val="20"/>
          <w:lang w:val="es-CO" w:eastAsia="es-CO"/>
        </w:rPr>
        <w:t xml:space="preserve"> se precisa que</w:t>
      </w:r>
      <w:r w:rsidR="00212A04">
        <w:rPr>
          <w:rFonts w:ascii="Arial" w:hAnsi="Arial" w:cs="Arial"/>
          <w:sz w:val="20"/>
          <w:szCs w:val="20"/>
          <w:lang w:val="es-CO" w:eastAsia="es-CO"/>
        </w:rPr>
        <w:t xml:space="preserve"> si bien </w:t>
      </w:r>
      <w:r w:rsidRPr="00EE6F59">
        <w:rPr>
          <w:rFonts w:ascii="Arial" w:hAnsi="Arial" w:cs="Arial"/>
          <w:sz w:val="20"/>
          <w:szCs w:val="20"/>
          <w:lang w:val="es-CO" w:eastAsia="es-CO"/>
        </w:rPr>
        <w:t>los P</w:t>
      </w:r>
      <w:r w:rsidRPr="006D1321">
        <w:rPr>
          <w:rFonts w:ascii="Arial" w:hAnsi="Arial" w:cs="Arial"/>
          <w:sz w:val="20"/>
          <w:szCs w:val="20"/>
          <w:vertAlign w:val="subscript"/>
          <w:lang w:val="es-CO" w:eastAsia="es-CO"/>
        </w:rPr>
        <w:t>DEA</w:t>
      </w:r>
      <w:r w:rsidRPr="00EE6F59">
        <w:rPr>
          <w:rFonts w:ascii="Arial" w:hAnsi="Arial" w:cs="Arial"/>
          <w:sz w:val="20"/>
          <w:szCs w:val="20"/>
          <w:lang w:val="es-CO" w:eastAsia="es-CO"/>
        </w:rPr>
        <w:t xml:space="preserve"> no se </w:t>
      </w:r>
      <w:r w:rsidR="00212A04">
        <w:rPr>
          <w:rFonts w:ascii="Arial" w:hAnsi="Arial" w:cs="Arial"/>
          <w:sz w:val="20"/>
          <w:szCs w:val="20"/>
          <w:lang w:val="es-CO" w:eastAsia="es-CO"/>
        </w:rPr>
        <w:t xml:space="preserve">califican como </w:t>
      </w:r>
      <w:r w:rsidRPr="00EE6F59">
        <w:rPr>
          <w:rFonts w:ascii="Arial" w:hAnsi="Arial" w:cs="Arial"/>
          <w:sz w:val="20"/>
          <w:szCs w:val="20"/>
          <w:lang w:val="es-CO" w:eastAsia="es-CO"/>
        </w:rPr>
        <w:t>información sujeta a reserva, e</w:t>
      </w:r>
      <w:r w:rsidR="006D1321">
        <w:rPr>
          <w:rFonts w:ascii="Arial" w:hAnsi="Arial" w:cs="Arial"/>
          <w:sz w:val="20"/>
          <w:szCs w:val="20"/>
          <w:lang w:val="es-CO" w:eastAsia="es-CO"/>
        </w:rPr>
        <w:t>l</w:t>
      </w:r>
      <w:r w:rsidRPr="00EE6F59">
        <w:rPr>
          <w:rFonts w:ascii="Arial" w:hAnsi="Arial" w:cs="Arial"/>
          <w:sz w:val="20"/>
          <w:szCs w:val="20"/>
          <w:lang w:val="es-CO" w:eastAsia="es-CO"/>
        </w:rPr>
        <w:t xml:space="preserve"> fin último de la no publicación radica en proteger información sensible de las empresas que entraron a la muestra.</w:t>
      </w:r>
    </w:p>
    <w:p w14:paraId="1B52621F" w14:textId="77777777" w:rsidR="00B37730" w:rsidRPr="00F55FD5" w:rsidRDefault="00B37730" w:rsidP="00106097">
      <w:pPr>
        <w:pStyle w:val="Ttulo2"/>
        <w:jc w:val="both"/>
        <w:rPr>
          <w:rFonts w:cs="Arial"/>
          <w:szCs w:val="20"/>
          <w:lang w:val="es-CO" w:eastAsia="es-CO"/>
        </w:rPr>
      </w:pPr>
      <w:bookmarkStart w:id="41" w:name="_Toc506988589"/>
      <w:r w:rsidRPr="00F55FD5">
        <w:rPr>
          <w:rFonts w:cs="Arial"/>
          <w:szCs w:val="20"/>
        </w:rPr>
        <w:t>RESPUESTA NO.</w:t>
      </w:r>
      <w:r w:rsidRPr="00F55FD5">
        <w:rPr>
          <w:rFonts w:cs="Arial"/>
          <w:szCs w:val="20"/>
        </w:rPr>
        <w:fldChar w:fldCharType="begin"/>
      </w:r>
      <w:r w:rsidRPr="00F55FD5">
        <w:rPr>
          <w:rFonts w:cs="Arial"/>
          <w:szCs w:val="20"/>
        </w:rPr>
        <w:instrText xml:space="preserve"> SEQ RESPUESTA_N. \* ARABIC </w:instrText>
      </w:r>
      <w:r w:rsidRPr="00F55FD5">
        <w:rPr>
          <w:rFonts w:cs="Arial"/>
          <w:szCs w:val="20"/>
        </w:rPr>
        <w:fldChar w:fldCharType="separate"/>
      </w:r>
      <w:r w:rsidRPr="00F55FD5">
        <w:rPr>
          <w:rFonts w:cs="Arial"/>
          <w:noProof/>
          <w:szCs w:val="20"/>
        </w:rPr>
        <w:t>11</w:t>
      </w:r>
      <w:r w:rsidRPr="00F55FD5">
        <w:rPr>
          <w:rFonts w:cs="Arial"/>
          <w:szCs w:val="20"/>
        </w:rPr>
        <w:fldChar w:fldCharType="end"/>
      </w:r>
      <w:r w:rsidRPr="00F55FD5">
        <w:rPr>
          <w:rFonts w:cs="Arial"/>
          <w:szCs w:val="20"/>
        </w:rPr>
        <w:t xml:space="preserve">. </w:t>
      </w:r>
      <w:r w:rsidRPr="00F55FD5">
        <w:rPr>
          <w:rFonts w:cs="Arial"/>
          <w:szCs w:val="20"/>
          <w:lang w:val="es-CO" w:eastAsia="es-CO"/>
        </w:rPr>
        <w:t>VERIFICACIÓN DE LAS EXCLUSIONES E INCLUSIONES QUE HICIERON LAS EMPRESAS</w:t>
      </w:r>
      <w:bookmarkEnd w:id="41"/>
    </w:p>
    <w:p w14:paraId="428AED6B" w14:textId="77777777" w:rsidR="00DE4159" w:rsidRPr="00106097" w:rsidRDefault="00DE4159" w:rsidP="00106097">
      <w:pPr>
        <w:spacing w:after="0" w:line="240" w:lineRule="auto"/>
        <w:jc w:val="both"/>
        <w:rPr>
          <w:rFonts w:ascii="Arial" w:hAnsi="Arial" w:cs="Arial"/>
          <w:sz w:val="20"/>
          <w:szCs w:val="20"/>
          <w:lang w:val="es-CO" w:eastAsia="es-CO"/>
        </w:rPr>
      </w:pPr>
    </w:p>
    <w:p w14:paraId="66C2F783" w14:textId="1CCAD54D" w:rsidR="00B37730" w:rsidRDefault="00DE4159" w:rsidP="00106097">
      <w:pPr>
        <w:spacing w:after="0" w:line="240" w:lineRule="auto"/>
        <w:jc w:val="both"/>
        <w:rPr>
          <w:rFonts w:ascii="Arial" w:hAnsi="Arial" w:cs="Arial"/>
          <w:sz w:val="20"/>
          <w:szCs w:val="20"/>
          <w:lang w:val="es-CO" w:eastAsia="es-CO"/>
        </w:rPr>
      </w:pPr>
      <w:r w:rsidRPr="00106097">
        <w:rPr>
          <w:rFonts w:ascii="Arial" w:hAnsi="Arial" w:cs="Arial"/>
          <w:sz w:val="20"/>
          <w:szCs w:val="20"/>
          <w:lang w:val="es-CO" w:eastAsia="es-CO"/>
        </w:rPr>
        <w:t>En el texto de la Resolución CRA 688 de 2014, se establecía</w:t>
      </w:r>
      <w:r w:rsidR="00A87B24">
        <w:rPr>
          <w:rFonts w:ascii="Arial" w:hAnsi="Arial" w:cs="Arial"/>
          <w:sz w:val="20"/>
          <w:szCs w:val="20"/>
          <w:lang w:val="es-CO" w:eastAsia="es-CO"/>
        </w:rPr>
        <w:t>n</w:t>
      </w:r>
      <w:r w:rsidRPr="00106097">
        <w:rPr>
          <w:rFonts w:ascii="Arial" w:hAnsi="Arial" w:cs="Arial"/>
          <w:sz w:val="20"/>
          <w:szCs w:val="20"/>
          <w:lang w:val="es-CO" w:eastAsia="es-CO"/>
        </w:rPr>
        <w:t xml:space="preserve"> los criterios que debían utilizar los prestadores, en el marco de su autonomía, para el cálculo de los costos administrativos base y costos operativos base. No está dentro de las competencias de la CRA establecer lineamientos para el tratamiento contable ni el realizar verificaciones o validaciones de los cálculos o estimaciones que realizan los prestadores para la determinación de sus tarifas.</w:t>
      </w:r>
    </w:p>
    <w:p w14:paraId="609E4E08" w14:textId="77777777" w:rsidR="00932E91" w:rsidRPr="00106097" w:rsidRDefault="00932E91" w:rsidP="00106097">
      <w:pPr>
        <w:spacing w:after="0" w:line="240" w:lineRule="auto"/>
        <w:jc w:val="both"/>
        <w:rPr>
          <w:rFonts w:ascii="Arial" w:hAnsi="Arial" w:cs="Arial"/>
          <w:sz w:val="20"/>
          <w:szCs w:val="20"/>
          <w:lang w:val="es-CO" w:eastAsia="es-CO"/>
        </w:rPr>
      </w:pPr>
    </w:p>
    <w:p w14:paraId="342462E5" w14:textId="77777777" w:rsidR="00B37730" w:rsidRDefault="00B37730" w:rsidP="00B37730">
      <w:pPr>
        <w:pStyle w:val="Ttulo2"/>
        <w:rPr>
          <w:lang w:val="es-CO" w:eastAsia="es-CO"/>
        </w:rPr>
      </w:pPr>
      <w:bookmarkStart w:id="42" w:name="_Toc506988590"/>
      <w:r>
        <w:t>RESPUESTA NO.</w:t>
      </w:r>
      <w:r w:rsidRPr="00097873">
        <w:fldChar w:fldCharType="begin"/>
      </w:r>
      <w:r w:rsidRPr="00097873">
        <w:instrText xml:space="preserve"> SEQ RESPUESTA_N. \* ARABIC </w:instrText>
      </w:r>
      <w:r w:rsidRPr="00097873">
        <w:fldChar w:fldCharType="separate"/>
      </w:r>
      <w:r>
        <w:rPr>
          <w:noProof/>
        </w:rPr>
        <w:t>12</w:t>
      </w:r>
      <w:r w:rsidRPr="00097873">
        <w:fldChar w:fldCharType="end"/>
      </w:r>
      <w:r w:rsidRPr="00097873">
        <w:t xml:space="preserve">. </w:t>
      </w:r>
      <w:r w:rsidRPr="00B37730">
        <w:rPr>
          <w:lang w:val="es-CO" w:eastAsia="es-CO"/>
        </w:rPr>
        <w:t>AMPLIACIÓN DEL PLAZO DE PARTICIPACIÓN CIUDADANA</w:t>
      </w:r>
      <w:bookmarkEnd w:id="42"/>
    </w:p>
    <w:p w14:paraId="72F2CACC" w14:textId="77777777" w:rsidR="00DE4159" w:rsidRPr="008516E9" w:rsidRDefault="00DE4159" w:rsidP="008516E9">
      <w:pPr>
        <w:spacing w:after="0" w:line="240" w:lineRule="auto"/>
        <w:jc w:val="both"/>
        <w:rPr>
          <w:rFonts w:ascii="Arial" w:hAnsi="Arial" w:cs="Arial"/>
          <w:sz w:val="20"/>
          <w:szCs w:val="20"/>
          <w:lang w:val="es-CO" w:eastAsia="es-CO"/>
        </w:rPr>
      </w:pPr>
    </w:p>
    <w:p w14:paraId="675AEB9E" w14:textId="4281E107" w:rsidR="00B37730" w:rsidRDefault="003A1173" w:rsidP="008516E9">
      <w:pPr>
        <w:spacing w:after="0" w:line="240" w:lineRule="auto"/>
        <w:jc w:val="both"/>
        <w:rPr>
          <w:rFonts w:ascii="Arial" w:hAnsi="Arial" w:cs="Arial"/>
          <w:sz w:val="20"/>
          <w:szCs w:val="20"/>
          <w:lang w:val="es-CO" w:eastAsia="es-CO"/>
        </w:rPr>
      </w:pPr>
      <w:r w:rsidRPr="008516E9">
        <w:rPr>
          <w:rFonts w:ascii="Arial" w:hAnsi="Arial" w:cs="Arial"/>
          <w:sz w:val="20"/>
          <w:szCs w:val="20"/>
          <w:lang w:val="es-CO" w:eastAsia="es-CO"/>
        </w:rPr>
        <w:t>El artículo primero de la</w:t>
      </w:r>
      <w:r w:rsidR="00DE4159" w:rsidRPr="008516E9">
        <w:rPr>
          <w:rFonts w:ascii="Arial" w:hAnsi="Arial" w:cs="Arial"/>
          <w:sz w:val="20"/>
          <w:szCs w:val="20"/>
          <w:lang w:val="es-CO" w:eastAsia="es-CO"/>
        </w:rPr>
        <w:t xml:space="preserve"> Resolución CRA 796 de 2017</w:t>
      </w:r>
      <w:r w:rsidR="00473C51" w:rsidRPr="008516E9">
        <w:rPr>
          <w:rFonts w:ascii="Arial" w:hAnsi="Arial" w:cs="Arial"/>
          <w:sz w:val="20"/>
          <w:szCs w:val="20"/>
          <w:lang w:val="es-CO" w:eastAsia="es-CO"/>
        </w:rPr>
        <w:t xml:space="preserve"> </w:t>
      </w:r>
      <w:r w:rsidR="008516E9" w:rsidRPr="008516E9">
        <w:rPr>
          <w:rFonts w:ascii="Arial" w:hAnsi="Arial" w:cs="Arial"/>
          <w:sz w:val="20"/>
          <w:szCs w:val="20"/>
          <w:lang w:val="es-CO" w:eastAsia="es-CO"/>
        </w:rPr>
        <w:t xml:space="preserve">adicionó el término de </w:t>
      </w:r>
      <w:r w:rsidR="00DE4159" w:rsidRPr="008516E9">
        <w:rPr>
          <w:rFonts w:ascii="Arial" w:hAnsi="Arial" w:cs="Arial"/>
          <w:sz w:val="20"/>
          <w:szCs w:val="20"/>
          <w:lang w:val="es-CO" w:eastAsia="es-CO"/>
        </w:rPr>
        <w:t>participación ciudadana hasta el 4 de julio de 2017</w:t>
      </w:r>
      <w:r w:rsidR="008516E9" w:rsidRPr="008516E9">
        <w:rPr>
          <w:rFonts w:ascii="Arial" w:hAnsi="Arial" w:cs="Arial"/>
          <w:sz w:val="20"/>
          <w:szCs w:val="20"/>
          <w:lang w:val="es-CO" w:eastAsia="es-CO"/>
        </w:rPr>
        <w:t xml:space="preserve"> para recibir las observaciones, reparos y/o sugerencias.</w:t>
      </w:r>
    </w:p>
    <w:p w14:paraId="260E01D0" w14:textId="77777777" w:rsidR="008516E9" w:rsidRPr="008516E9" w:rsidRDefault="008516E9" w:rsidP="008516E9">
      <w:pPr>
        <w:spacing w:after="0" w:line="240" w:lineRule="auto"/>
        <w:jc w:val="both"/>
        <w:rPr>
          <w:rFonts w:ascii="Arial" w:hAnsi="Arial" w:cs="Arial"/>
          <w:sz w:val="20"/>
          <w:szCs w:val="20"/>
          <w:lang w:val="es-CO" w:eastAsia="es-CO"/>
        </w:rPr>
      </w:pPr>
    </w:p>
    <w:p w14:paraId="0268543F" w14:textId="77777777" w:rsidR="00B37730" w:rsidRPr="00097873" w:rsidRDefault="00B37730" w:rsidP="000D4851">
      <w:pPr>
        <w:pStyle w:val="Ttulo2"/>
        <w:tabs>
          <w:tab w:val="clear" w:pos="576"/>
        </w:tabs>
        <w:rPr>
          <w:lang w:val="es-CO" w:eastAsia="es-CO"/>
        </w:rPr>
      </w:pPr>
      <w:bookmarkStart w:id="43" w:name="_Toc506988591"/>
      <w:r>
        <w:t>RESPUESTA NO.</w:t>
      </w:r>
      <w:r w:rsidRPr="00097873">
        <w:fldChar w:fldCharType="begin"/>
      </w:r>
      <w:r w:rsidRPr="00097873">
        <w:instrText xml:space="preserve"> SEQ RESPUESTA_N. \* ARABIC </w:instrText>
      </w:r>
      <w:r w:rsidRPr="00097873">
        <w:fldChar w:fldCharType="separate"/>
      </w:r>
      <w:r>
        <w:rPr>
          <w:noProof/>
        </w:rPr>
        <w:t>13</w:t>
      </w:r>
      <w:r w:rsidRPr="00097873">
        <w:fldChar w:fldCharType="end"/>
      </w:r>
      <w:r w:rsidRPr="00097873">
        <w:t xml:space="preserve">. </w:t>
      </w:r>
      <w:r w:rsidRPr="00B37730">
        <w:rPr>
          <w:lang w:val="es-CO" w:eastAsia="es-CO"/>
        </w:rPr>
        <w:t>PROCEDIMIENTO DE APLICACIÓN DE LAS NUEVAS TARIFAS</w:t>
      </w:r>
      <w:bookmarkEnd w:id="43"/>
    </w:p>
    <w:p w14:paraId="77749388" w14:textId="77777777" w:rsidR="00962C73" w:rsidRDefault="00962C73" w:rsidP="000D4851">
      <w:pPr>
        <w:spacing w:after="0" w:line="240" w:lineRule="auto"/>
        <w:rPr>
          <w:lang w:val="es-CO" w:eastAsia="es-CO"/>
        </w:rPr>
      </w:pPr>
    </w:p>
    <w:p w14:paraId="4E4CAD69" w14:textId="77777777" w:rsidR="00B37730" w:rsidRDefault="000D4851" w:rsidP="000D4851">
      <w:pPr>
        <w:spacing w:after="0" w:line="240" w:lineRule="auto"/>
        <w:jc w:val="both"/>
        <w:rPr>
          <w:rFonts w:ascii="Arial" w:hAnsi="Arial" w:cs="Arial"/>
          <w:sz w:val="20"/>
          <w:szCs w:val="20"/>
          <w:lang w:val="es-CO" w:eastAsia="es-CO"/>
        </w:rPr>
      </w:pPr>
      <w:r w:rsidRPr="000D4851">
        <w:rPr>
          <w:rFonts w:ascii="Arial" w:hAnsi="Arial" w:cs="Arial"/>
          <w:sz w:val="20"/>
          <w:szCs w:val="20"/>
          <w:lang w:val="es-CO" w:eastAsia="es-CO"/>
        </w:rPr>
        <w:t>Al respecto, s</w:t>
      </w:r>
      <w:r w:rsidR="00962C73" w:rsidRPr="000D4851">
        <w:rPr>
          <w:rFonts w:ascii="Arial" w:hAnsi="Arial" w:cs="Arial"/>
          <w:sz w:val="20"/>
          <w:szCs w:val="20"/>
          <w:lang w:val="es-CO" w:eastAsia="es-CO"/>
        </w:rPr>
        <w:t xml:space="preserve">e </w:t>
      </w:r>
      <w:r w:rsidRPr="000D4851">
        <w:rPr>
          <w:rFonts w:ascii="Arial" w:hAnsi="Arial" w:cs="Arial"/>
          <w:sz w:val="20"/>
          <w:szCs w:val="20"/>
          <w:lang w:val="es-CO" w:eastAsia="es-CO"/>
        </w:rPr>
        <w:t>precisa</w:t>
      </w:r>
      <w:r w:rsidR="00962C73" w:rsidRPr="000D4851">
        <w:rPr>
          <w:rFonts w:ascii="Arial" w:hAnsi="Arial" w:cs="Arial"/>
          <w:sz w:val="20"/>
          <w:szCs w:val="20"/>
          <w:lang w:val="es-CO" w:eastAsia="es-CO"/>
        </w:rPr>
        <w:t xml:space="preserve"> qu</w:t>
      </w:r>
      <w:r w:rsidRPr="000D4851">
        <w:rPr>
          <w:rFonts w:ascii="Arial" w:hAnsi="Arial" w:cs="Arial"/>
          <w:sz w:val="20"/>
          <w:szCs w:val="20"/>
          <w:lang w:val="es-CO" w:eastAsia="es-CO"/>
        </w:rPr>
        <w:t xml:space="preserve">e la propuesta contenida en la </w:t>
      </w:r>
      <w:r w:rsidR="00962C73" w:rsidRPr="000D4851">
        <w:rPr>
          <w:rFonts w:ascii="Arial" w:hAnsi="Arial" w:cs="Arial"/>
          <w:sz w:val="20"/>
          <w:szCs w:val="20"/>
          <w:lang w:val="es-CO" w:eastAsia="es-CO"/>
        </w:rPr>
        <w:t>Resolución CRA 791 de 2017 no modifica lo establecido</w:t>
      </w:r>
      <w:r w:rsidRPr="000D4851">
        <w:rPr>
          <w:rFonts w:ascii="Arial" w:hAnsi="Arial" w:cs="Arial"/>
          <w:sz w:val="20"/>
          <w:szCs w:val="20"/>
          <w:lang w:val="es-CO" w:eastAsia="es-CO"/>
        </w:rPr>
        <w:t xml:space="preserve"> en la </w:t>
      </w:r>
      <w:r w:rsidRPr="00F55FD5">
        <w:rPr>
          <w:rStyle w:val="DefinicinHTML"/>
          <w:rFonts w:ascii="Arial" w:hAnsi="Arial" w:cs="Arial"/>
          <w:bCs/>
          <w:sz w:val="20"/>
          <w:szCs w:val="20"/>
        </w:rPr>
        <w:t>Sección 5.1.1, capitulo 1,</w:t>
      </w:r>
      <w:r w:rsidRPr="00F55FD5">
        <w:rPr>
          <w:rFonts w:ascii="Arial" w:hAnsi="Arial" w:cs="Arial"/>
          <w:sz w:val="20"/>
          <w:szCs w:val="20"/>
          <w:lang w:val="es-CO" w:eastAsia="es-CO"/>
        </w:rPr>
        <w:t xml:space="preserve"> </w:t>
      </w:r>
      <w:r w:rsidRPr="00F55FD5">
        <w:rPr>
          <w:rFonts w:ascii="Arial" w:hAnsi="Arial" w:cs="Arial"/>
          <w:i/>
          <w:sz w:val="20"/>
          <w:szCs w:val="20"/>
          <w:lang w:val="es-CO" w:eastAsia="es-CO"/>
        </w:rPr>
        <w:t>título V</w:t>
      </w:r>
      <w:r w:rsidR="00962C73" w:rsidRPr="000D4851">
        <w:rPr>
          <w:rFonts w:ascii="Arial" w:hAnsi="Arial" w:cs="Arial"/>
          <w:sz w:val="20"/>
          <w:szCs w:val="20"/>
          <w:lang w:val="es-CO" w:eastAsia="es-CO"/>
        </w:rPr>
        <w:t xml:space="preserve"> </w:t>
      </w:r>
      <w:r w:rsidRPr="000D4851">
        <w:rPr>
          <w:rFonts w:ascii="Arial" w:hAnsi="Arial" w:cs="Arial"/>
          <w:sz w:val="20"/>
          <w:szCs w:val="20"/>
          <w:lang w:val="es-CO" w:eastAsia="es-CO"/>
        </w:rPr>
        <w:t>de</w:t>
      </w:r>
      <w:r w:rsidR="00962C73" w:rsidRPr="000D4851">
        <w:rPr>
          <w:rFonts w:ascii="Arial" w:hAnsi="Arial" w:cs="Arial"/>
          <w:sz w:val="20"/>
          <w:szCs w:val="20"/>
          <w:lang w:val="es-CO" w:eastAsia="es-CO"/>
        </w:rPr>
        <w:t xml:space="preserve"> la Resolución CRA 151 de 2001, en tal sentido para la información de las tarifas se debe seguir lo establecido en esta última resolución.</w:t>
      </w:r>
    </w:p>
    <w:p w14:paraId="6EA5805D" w14:textId="77777777" w:rsidR="000D4851" w:rsidRPr="000D4851" w:rsidRDefault="000D4851" w:rsidP="000D4851">
      <w:pPr>
        <w:spacing w:after="0" w:line="240" w:lineRule="auto"/>
        <w:jc w:val="both"/>
        <w:rPr>
          <w:rFonts w:ascii="Arial" w:hAnsi="Arial" w:cs="Arial"/>
          <w:sz w:val="20"/>
          <w:szCs w:val="20"/>
          <w:lang w:val="es-CO" w:eastAsia="es-CO"/>
        </w:rPr>
      </w:pPr>
    </w:p>
    <w:p w14:paraId="5E3A6D37" w14:textId="77777777" w:rsidR="00962C73" w:rsidRPr="000D4851" w:rsidRDefault="000D4851" w:rsidP="000D4851">
      <w:pPr>
        <w:spacing w:after="0" w:line="240" w:lineRule="auto"/>
        <w:jc w:val="both"/>
        <w:rPr>
          <w:rFonts w:ascii="Arial" w:hAnsi="Arial" w:cs="Arial"/>
          <w:sz w:val="20"/>
          <w:szCs w:val="20"/>
          <w:lang w:val="es-CO" w:eastAsia="es-CO"/>
        </w:rPr>
      </w:pPr>
      <w:r w:rsidRPr="000D4851">
        <w:rPr>
          <w:rFonts w:ascii="Arial" w:hAnsi="Arial" w:cs="Arial"/>
          <w:sz w:val="20"/>
          <w:szCs w:val="20"/>
          <w:lang w:val="es-CO" w:eastAsia="es-CO"/>
        </w:rPr>
        <w:t xml:space="preserve">De igual forma, en </w:t>
      </w:r>
      <w:r w:rsidR="00962C73" w:rsidRPr="000D4851">
        <w:rPr>
          <w:rFonts w:ascii="Arial" w:hAnsi="Arial" w:cs="Arial"/>
          <w:sz w:val="20"/>
          <w:szCs w:val="20"/>
          <w:lang w:val="es-CO" w:eastAsia="es-CO"/>
        </w:rPr>
        <w:t>la resolución definitiva se establecerá una fecha de aplicación de las nuevas tarifas que otorgue un plazo que permita que los prestadores cumplan con los trámites de publicación de tarifas.</w:t>
      </w:r>
      <w:r w:rsidR="00EB3E33" w:rsidRPr="000D4851">
        <w:rPr>
          <w:rFonts w:ascii="Arial" w:hAnsi="Arial" w:cs="Arial"/>
          <w:sz w:val="20"/>
          <w:szCs w:val="20"/>
          <w:lang w:val="es-CO" w:eastAsia="es-CO"/>
        </w:rPr>
        <w:t xml:space="preserve"> </w:t>
      </w:r>
    </w:p>
    <w:p w14:paraId="027CB385" w14:textId="77777777" w:rsidR="000D4851" w:rsidRDefault="000D4851" w:rsidP="000D4851">
      <w:pPr>
        <w:spacing w:after="0" w:line="240" w:lineRule="auto"/>
        <w:jc w:val="both"/>
        <w:rPr>
          <w:lang w:val="es-CO" w:eastAsia="es-CO"/>
        </w:rPr>
      </w:pPr>
    </w:p>
    <w:p w14:paraId="04FFB54F" w14:textId="77777777" w:rsidR="00B37730" w:rsidRPr="00097873" w:rsidRDefault="00B37730" w:rsidP="000D4851">
      <w:pPr>
        <w:pStyle w:val="Ttulo2"/>
        <w:rPr>
          <w:lang w:val="es-CO" w:eastAsia="es-CO"/>
        </w:rPr>
      </w:pPr>
      <w:bookmarkStart w:id="44" w:name="_Toc506988592"/>
      <w:r>
        <w:t>RESPUESTA NO.</w:t>
      </w:r>
      <w:r w:rsidRPr="00097873">
        <w:fldChar w:fldCharType="begin"/>
      </w:r>
      <w:r w:rsidRPr="00097873">
        <w:instrText xml:space="preserve"> SEQ RESPUESTA_N. \* ARABIC </w:instrText>
      </w:r>
      <w:r w:rsidRPr="00097873">
        <w:fldChar w:fldCharType="separate"/>
      </w:r>
      <w:r>
        <w:rPr>
          <w:noProof/>
        </w:rPr>
        <w:t>14</w:t>
      </w:r>
      <w:r w:rsidRPr="00097873">
        <w:fldChar w:fldCharType="end"/>
      </w:r>
      <w:r w:rsidRPr="00097873">
        <w:t xml:space="preserve">. </w:t>
      </w:r>
      <w:r w:rsidRPr="00B37730">
        <w:rPr>
          <w:lang w:val="es-CO" w:eastAsia="es-CO"/>
        </w:rPr>
        <w:t>PLAZO PARA EL CÁLCULO DEL DEA DE LOS QUE NO HACEN PARTE DEL GRUPO BÁSICO</w:t>
      </w:r>
      <w:bookmarkEnd w:id="44"/>
    </w:p>
    <w:p w14:paraId="60DB4FD2" w14:textId="77777777" w:rsidR="003C1969" w:rsidRDefault="003C1969" w:rsidP="000D4851">
      <w:pPr>
        <w:numPr>
          <w:ilvl w:val="0"/>
          <w:numId w:val="1"/>
        </w:numPr>
        <w:spacing w:after="0" w:line="240" w:lineRule="auto"/>
        <w:jc w:val="both"/>
        <w:rPr>
          <w:rFonts w:ascii="Arial" w:hAnsi="Arial" w:cs="Arial"/>
          <w:sz w:val="20"/>
          <w:szCs w:val="20"/>
          <w:lang w:val="es-CO" w:eastAsia="es-CO"/>
        </w:rPr>
      </w:pPr>
    </w:p>
    <w:p w14:paraId="58921DFE" w14:textId="71FFA794" w:rsidR="003C1969" w:rsidRDefault="003C1969" w:rsidP="000D4851">
      <w:pPr>
        <w:spacing w:after="0" w:line="240" w:lineRule="auto"/>
        <w:jc w:val="both"/>
        <w:rPr>
          <w:rFonts w:ascii="Arial" w:hAnsi="Arial" w:cs="Arial"/>
          <w:sz w:val="20"/>
          <w:szCs w:val="20"/>
          <w:lang w:val="es-CO" w:eastAsia="es-CO"/>
        </w:rPr>
      </w:pPr>
      <w:r>
        <w:rPr>
          <w:rFonts w:ascii="Arial" w:hAnsi="Arial" w:cs="Arial"/>
          <w:sz w:val="20"/>
          <w:szCs w:val="20"/>
          <w:lang w:val="es-CO" w:eastAsia="es-CO"/>
        </w:rPr>
        <w:t>S</w:t>
      </w:r>
      <w:r w:rsidRPr="002A470D">
        <w:rPr>
          <w:rFonts w:ascii="Arial" w:hAnsi="Arial" w:cs="Arial"/>
          <w:sz w:val="20"/>
          <w:szCs w:val="20"/>
          <w:lang w:val="es-CO" w:eastAsia="es-CO"/>
        </w:rPr>
        <w:t xml:space="preserve">e aclara que </w:t>
      </w:r>
      <w:r w:rsidR="005871C8">
        <w:rPr>
          <w:rFonts w:ascii="Arial" w:hAnsi="Arial" w:cs="Arial"/>
          <w:sz w:val="20"/>
          <w:szCs w:val="20"/>
          <w:lang w:val="es-CO" w:eastAsia="es-CO"/>
        </w:rPr>
        <w:t xml:space="preserve">las </w:t>
      </w:r>
      <w:r w:rsidR="00A87B24" w:rsidRPr="00A87B24">
        <w:rPr>
          <w:rFonts w:ascii="Arial" w:hAnsi="Arial" w:cs="Arial"/>
          <w:sz w:val="20"/>
          <w:szCs w:val="20"/>
          <w:lang w:val="es-CO" w:eastAsia="es-CO"/>
        </w:rPr>
        <w:t xml:space="preserve">tarifas resultantes de la </w:t>
      </w:r>
      <w:r w:rsidR="00A87B24">
        <w:rPr>
          <w:rFonts w:ascii="Arial" w:hAnsi="Arial" w:cs="Arial"/>
          <w:sz w:val="20"/>
          <w:szCs w:val="20"/>
          <w:lang w:val="es-CO" w:eastAsia="es-CO"/>
        </w:rPr>
        <w:t xml:space="preserve">aplicación de lo contenido en la </w:t>
      </w:r>
      <w:r w:rsidR="00A87B24" w:rsidRPr="00A87B24">
        <w:rPr>
          <w:rFonts w:ascii="Arial" w:hAnsi="Arial" w:cs="Arial"/>
          <w:sz w:val="20"/>
          <w:szCs w:val="20"/>
          <w:lang w:val="es-CO" w:eastAsia="es-CO"/>
        </w:rPr>
        <w:t xml:space="preserve">resolución </w:t>
      </w:r>
      <w:r w:rsidR="00A87B24">
        <w:rPr>
          <w:rFonts w:ascii="Arial" w:hAnsi="Arial" w:cs="Arial"/>
          <w:sz w:val="20"/>
          <w:szCs w:val="20"/>
          <w:lang w:val="es-CO" w:eastAsia="es-CO"/>
        </w:rPr>
        <w:t>definitiva “</w:t>
      </w:r>
      <w:r w:rsidR="00A87B24" w:rsidRPr="00A87B24">
        <w:rPr>
          <w:rFonts w:ascii="Arial" w:hAnsi="Arial" w:cs="Arial"/>
          <w:i/>
          <w:sz w:val="20"/>
          <w:szCs w:val="20"/>
          <w:lang w:val="es-CO" w:eastAsia="es-CO"/>
        </w:rPr>
        <w:t>Por la cual se presentan las variables que conforman los modelos de eficiencia establecidos en la Resolución CRA 688 de 2014, para determinar los puntajes de eficiencia comparativa PDEA y se dictan otras disposiciones</w:t>
      </w:r>
      <w:r w:rsidR="00A87B24">
        <w:rPr>
          <w:rFonts w:ascii="Arial" w:hAnsi="Arial" w:cs="Arial"/>
          <w:i/>
          <w:sz w:val="20"/>
          <w:szCs w:val="20"/>
          <w:lang w:val="es-CO" w:eastAsia="es-CO"/>
        </w:rPr>
        <w:t xml:space="preserve">” </w:t>
      </w:r>
      <w:r w:rsidR="00A87B24" w:rsidRPr="00A87B24">
        <w:rPr>
          <w:rFonts w:ascii="Arial" w:hAnsi="Arial" w:cs="Arial"/>
          <w:sz w:val="20"/>
          <w:szCs w:val="20"/>
          <w:lang w:val="es-CO" w:eastAsia="es-CO"/>
        </w:rPr>
        <w:t>comenzarán a aplicarse a partir del primero (1º) de julio de 2018</w:t>
      </w:r>
      <w:r w:rsidR="00A87B24">
        <w:rPr>
          <w:rFonts w:ascii="Arial" w:hAnsi="Arial" w:cs="Arial"/>
          <w:sz w:val="20"/>
          <w:szCs w:val="20"/>
          <w:lang w:val="es-CO" w:eastAsia="es-CO"/>
        </w:rPr>
        <w:t xml:space="preserve">, fecha que deberán considerar las </w:t>
      </w:r>
      <w:r w:rsidR="005871C8">
        <w:rPr>
          <w:rFonts w:ascii="Arial" w:hAnsi="Arial" w:cs="Arial"/>
          <w:sz w:val="20"/>
          <w:szCs w:val="20"/>
          <w:lang w:val="es-CO" w:eastAsia="es-CO"/>
        </w:rPr>
        <w:t xml:space="preserve">personas </w:t>
      </w:r>
      <w:r w:rsidR="00A87B24">
        <w:rPr>
          <w:rFonts w:ascii="Arial" w:hAnsi="Arial" w:cs="Arial"/>
          <w:sz w:val="20"/>
          <w:szCs w:val="20"/>
          <w:lang w:val="es-CO" w:eastAsia="es-CO"/>
        </w:rPr>
        <w:t>prestador</w:t>
      </w:r>
      <w:r w:rsidR="005871C8">
        <w:rPr>
          <w:rFonts w:ascii="Arial" w:hAnsi="Arial" w:cs="Arial"/>
          <w:sz w:val="20"/>
          <w:szCs w:val="20"/>
          <w:lang w:val="es-CO" w:eastAsia="es-CO"/>
        </w:rPr>
        <w:t>a</w:t>
      </w:r>
      <w:r w:rsidR="00A87B24">
        <w:rPr>
          <w:rFonts w:ascii="Arial" w:hAnsi="Arial" w:cs="Arial"/>
          <w:sz w:val="20"/>
          <w:szCs w:val="20"/>
          <w:lang w:val="es-CO" w:eastAsia="es-CO"/>
        </w:rPr>
        <w:t>s</w:t>
      </w:r>
      <w:r w:rsidR="005871C8">
        <w:rPr>
          <w:rFonts w:ascii="Arial" w:hAnsi="Arial" w:cs="Arial"/>
          <w:sz w:val="20"/>
          <w:szCs w:val="20"/>
          <w:lang w:val="es-CO" w:eastAsia="es-CO"/>
        </w:rPr>
        <w:t xml:space="preserve"> </w:t>
      </w:r>
      <w:r w:rsidRPr="002A470D">
        <w:rPr>
          <w:rFonts w:ascii="Arial" w:hAnsi="Arial" w:cs="Arial"/>
          <w:sz w:val="20"/>
          <w:szCs w:val="20"/>
          <w:lang w:val="es-CO" w:eastAsia="es-CO"/>
        </w:rPr>
        <w:t xml:space="preserve">que no entraron en el grupo básico, </w:t>
      </w:r>
      <w:r w:rsidR="005871C8">
        <w:rPr>
          <w:rFonts w:ascii="Arial" w:hAnsi="Arial" w:cs="Arial"/>
          <w:sz w:val="20"/>
          <w:szCs w:val="20"/>
          <w:lang w:val="es-CO" w:eastAsia="es-CO"/>
        </w:rPr>
        <w:t xml:space="preserve">para </w:t>
      </w:r>
      <w:r w:rsidRPr="002A470D">
        <w:rPr>
          <w:rFonts w:ascii="Arial" w:hAnsi="Arial" w:cs="Arial"/>
          <w:sz w:val="20"/>
          <w:szCs w:val="20"/>
          <w:lang w:val="es-CO" w:eastAsia="es-CO"/>
        </w:rPr>
        <w:t xml:space="preserve">hacer la solicitud particular de cálculo del </w:t>
      </w:r>
      <w:r w:rsidR="003E4E0A">
        <w:rPr>
          <w:rFonts w:ascii="Arial" w:hAnsi="Arial" w:cs="Arial"/>
          <w:sz w:val="20"/>
          <w:szCs w:val="20"/>
          <w:lang w:val="es-CO" w:eastAsia="es-CO"/>
        </w:rPr>
        <w:t xml:space="preserve">puntaje </w:t>
      </w:r>
      <w:r w:rsidRPr="002A470D">
        <w:rPr>
          <w:rFonts w:ascii="Arial" w:hAnsi="Arial" w:cs="Arial"/>
          <w:sz w:val="20"/>
          <w:szCs w:val="20"/>
          <w:lang w:val="es-CO" w:eastAsia="es-CO"/>
        </w:rPr>
        <w:t>DEA</w:t>
      </w:r>
      <w:r w:rsidR="005871C8">
        <w:rPr>
          <w:rFonts w:ascii="Arial" w:hAnsi="Arial" w:cs="Arial"/>
          <w:sz w:val="20"/>
          <w:szCs w:val="20"/>
          <w:lang w:val="es-CO" w:eastAsia="es-CO"/>
        </w:rPr>
        <w:t xml:space="preserve"> ante la CRA</w:t>
      </w:r>
      <w:r w:rsidRPr="002A470D">
        <w:rPr>
          <w:rFonts w:ascii="Arial" w:hAnsi="Arial" w:cs="Arial"/>
          <w:sz w:val="20"/>
          <w:szCs w:val="20"/>
          <w:lang w:val="es-CO" w:eastAsia="es-CO"/>
        </w:rPr>
        <w:t>.</w:t>
      </w:r>
    </w:p>
    <w:p w14:paraId="578CDEEA" w14:textId="77777777" w:rsidR="00872B66" w:rsidRPr="002A470D" w:rsidRDefault="00872B66" w:rsidP="000D4851">
      <w:pPr>
        <w:spacing w:after="0" w:line="240" w:lineRule="auto"/>
        <w:jc w:val="both"/>
        <w:rPr>
          <w:rFonts w:ascii="Arial" w:hAnsi="Arial" w:cs="Arial"/>
          <w:sz w:val="20"/>
          <w:szCs w:val="20"/>
          <w:lang w:val="es-CO" w:eastAsia="es-CO"/>
        </w:rPr>
      </w:pPr>
    </w:p>
    <w:p w14:paraId="1C6A634C" w14:textId="77777777" w:rsidR="00B37730" w:rsidRPr="002D142A" w:rsidRDefault="00B37730" w:rsidP="00B37730">
      <w:pPr>
        <w:pStyle w:val="Ttulo2"/>
        <w:rPr>
          <w:lang w:val="es-CO" w:eastAsia="es-CO"/>
        </w:rPr>
      </w:pPr>
      <w:bookmarkStart w:id="45" w:name="_Toc506988593"/>
      <w:r w:rsidRPr="002D142A">
        <w:t>RESPUESTA NO.</w:t>
      </w:r>
      <w:r w:rsidRPr="002D142A">
        <w:fldChar w:fldCharType="begin"/>
      </w:r>
      <w:r w:rsidRPr="002D142A">
        <w:instrText xml:space="preserve"> SEQ RESPUESTA_N. \* ARABIC </w:instrText>
      </w:r>
      <w:r w:rsidRPr="002D142A">
        <w:fldChar w:fldCharType="separate"/>
      </w:r>
      <w:r w:rsidRPr="002D142A">
        <w:rPr>
          <w:noProof/>
        </w:rPr>
        <w:t>15</w:t>
      </w:r>
      <w:r w:rsidRPr="002D142A">
        <w:fldChar w:fldCharType="end"/>
      </w:r>
      <w:r w:rsidRPr="002D142A">
        <w:t xml:space="preserve">. </w:t>
      </w:r>
      <w:r w:rsidRPr="002D142A">
        <w:rPr>
          <w:lang w:val="es-CO" w:eastAsia="es-CO"/>
        </w:rPr>
        <w:t>CORRECCIONES A LA INFORMACIÓN DE COSTOS DEL EXCEL</w:t>
      </w:r>
      <w:bookmarkEnd w:id="45"/>
    </w:p>
    <w:p w14:paraId="38702EE8" w14:textId="77777777" w:rsidR="00B37730" w:rsidRPr="00211663" w:rsidRDefault="00B37730" w:rsidP="00211663">
      <w:pPr>
        <w:spacing w:after="0" w:line="240" w:lineRule="auto"/>
        <w:rPr>
          <w:rFonts w:ascii="Arial" w:hAnsi="Arial" w:cs="Arial"/>
          <w:sz w:val="20"/>
          <w:szCs w:val="20"/>
          <w:lang w:val="es-CO" w:eastAsia="es-CO"/>
        </w:rPr>
      </w:pPr>
    </w:p>
    <w:p w14:paraId="1E09CF64" w14:textId="39EDD0C5" w:rsidR="005871C8" w:rsidRDefault="005871C8" w:rsidP="005871C8">
      <w:pPr>
        <w:spacing w:after="0" w:line="240" w:lineRule="auto"/>
        <w:jc w:val="both"/>
        <w:rPr>
          <w:rFonts w:ascii="Arial" w:hAnsi="Arial" w:cs="Arial"/>
          <w:sz w:val="20"/>
          <w:szCs w:val="20"/>
          <w:lang w:val="es-CO" w:eastAsia="es-CO"/>
        </w:rPr>
      </w:pPr>
      <w:r>
        <w:rPr>
          <w:rFonts w:ascii="Arial" w:hAnsi="Arial" w:cs="Arial"/>
          <w:sz w:val="20"/>
          <w:szCs w:val="20"/>
          <w:lang w:val="es-CO" w:eastAsia="es-CO"/>
        </w:rPr>
        <w:t xml:space="preserve">Al respecto, la </w:t>
      </w:r>
      <w:r w:rsidRPr="00A87B24">
        <w:rPr>
          <w:rFonts w:ascii="Arial" w:hAnsi="Arial" w:cs="Arial"/>
          <w:sz w:val="20"/>
          <w:szCs w:val="20"/>
          <w:lang w:val="es-CO" w:eastAsia="es-CO"/>
        </w:rPr>
        <w:t xml:space="preserve">resolución </w:t>
      </w:r>
      <w:r>
        <w:rPr>
          <w:rFonts w:ascii="Arial" w:hAnsi="Arial" w:cs="Arial"/>
          <w:sz w:val="20"/>
          <w:szCs w:val="20"/>
          <w:lang w:val="es-CO" w:eastAsia="es-CO"/>
        </w:rPr>
        <w:t>definitiva “</w:t>
      </w:r>
      <w:r w:rsidRPr="00A87B24">
        <w:rPr>
          <w:rFonts w:ascii="Arial" w:hAnsi="Arial" w:cs="Arial"/>
          <w:i/>
          <w:sz w:val="20"/>
          <w:szCs w:val="20"/>
          <w:lang w:val="es-CO" w:eastAsia="es-CO"/>
        </w:rPr>
        <w:t xml:space="preserve">Por la cual se presentan las variables que conforman los modelos de eficiencia establecidos en la Resolución CRA 688 de 2014, para determinar los puntajes de eficiencia comparativa PDEA y </w:t>
      </w:r>
      <w:r w:rsidRPr="00A87B24">
        <w:rPr>
          <w:rFonts w:ascii="Arial" w:hAnsi="Arial" w:cs="Arial"/>
          <w:i/>
          <w:sz w:val="20"/>
          <w:szCs w:val="20"/>
          <w:lang w:val="es-CO" w:eastAsia="es-CO"/>
        </w:rPr>
        <w:lastRenderedPageBreak/>
        <w:t>se dictan otras disposiciones</w:t>
      </w:r>
      <w:r>
        <w:rPr>
          <w:rFonts w:ascii="Arial" w:hAnsi="Arial" w:cs="Arial"/>
          <w:i/>
          <w:sz w:val="20"/>
          <w:szCs w:val="20"/>
          <w:lang w:val="es-CO" w:eastAsia="es-CO"/>
        </w:rPr>
        <w:t xml:space="preserve">” </w:t>
      </w:r>
      <w:r>
        <w:rPr>
          <w:rFonts w:ascii="Arial" w:hAnsi="Arial" w:cs="Arial"/>
          <w:sz w:val="20"/>
          <w:szCs w:val="20"/>
          <w:lang w:val="es-CO" w:eastAsia="es-CO"/>
        </w:rPr>
        <w:t xml:space="preserve">establece en el artículo 13 que </w:t>
      </w:r>
      <w:r>
        <w:rPr>
          <w:rFonts w:ascii="Arial" w:hAnsi="Arial" w:cs="Arial"/>
          <w:bCs/>
          <w:sz w:val="20"/>
          <w:szCs w:val="20"/>
          <w:lang w:val="es-CO" w:eastAsia="es-CO"/>
        </w:rPr>
        <w:t>l</w:t>
      </w:r>
      <w:r w:rsidRPr="005871C8">
        <w:rPr>
          <w:rFonts w:ascii="Arial" w:hAnsi="Arial" w:cs="Arial"/>
          <w:bCs/>
          <w:sz w:val="20"/>
          <w:szCs w:val="20"/>
          <w:lang w:val="es-CO" w:eastAsia="es-CO"/>
        </w:rPr>
        <w:t xml:space="preserve">as personas prestadoras que hicieron parte del grupo básico podrán solicitar a la Comisión de Regulación de Agua </w:t>
      </w:r>
      <w:r w:rsidRPr="001B1EE5">
        <w:rPr>
          <w:rFonts w:ascii="Arial" w:hAnsi="Arial" w:cs="Arial"/>
          <w:bCs/>
          <w:sz w:val="20"/>
          <w:szCs w:val="20"/>
          <w:lang w:val="es-CO" w:eastAsia="es-CO"/>
        </w:rPr>
        <w:t>Potable y Saneamiento</w:t>
      </w:r>
      <w:r w:rsidRPr="005871C8">
        <w:rPr>
          <w:rFonts w:ascii="Arial" w:hAnsi="Arial" w:cs="Arial"/>
          <w:bCs/>
          <w:sz w:val="20"/>
          <w:szCs w:val="20"/>
          <w:lang w:val="es-CO" w:eastAsia="es-CO"/>
        </w:rPr>
        <w:t xml:space="preserve"> Básico - CRA, la modificación de los costos administrativos y operativos comparables y el cálculo del PDEA</w:t>
      </w:r>
      <w:r w:rsidRPr="002A470D">
        <w:rPr>
          <w:rFonts w:ascii="Arial" w:hAnsi="Arial" w:cs="Arial"/>
          <w:sz w:val="20"/>
          <w:szCs w:val="20"/>
          <w:lang w:val="es-CO" w:eastAsia="es-CO"/>
        </w:rPr>
        <w:t>.</w:t>
      </w:r>
    </w:p>
    <w:p w14:paraId="7D190641" w14:textId="77777777" w:rsidR="003C4A91" w:rsidRPr="00B37730" w:rsidRDefault="003C4A91" w:rsidP="003C4A91">
      <w:pPr>
        <w:spacing w:after="0" w:line="240" w:lineRule="auto"/>
        <w:jc w:val="both"/>
        <w:rPr>
          <w:lang w:val="es-CO" w:eastAsia="es-CO"/>
        </w:rPr>
      </w:pPr>
    </w:p>
    <w:p w14:paraId="4411EAD7" w14:textId="77777777" w:rsidR="00B37730" w:rsidRDefault="00B37730" w:rsidP="00BC2047">
      <w:pPr>
        <w:pStyle w:val="Ttulo2"/>
        <w:rPr>
          <w:lang w:val="es-CO" w:eastAsia="es-CO"/>
        </w:rPr>
      </w:pPr>
      <w:bookmarkStart w:id="46" w:name="_Toc506988594"/>
      <w:r>
        <w:t>RESPUESTA NO.</w:t>
      </w:r>
      <w:r w:rsidRPr="00097873">
        <w:fldChar w:fldCharType="begin"/>
      </w:r>
      <w:r w:rsidRPr="00097873">
        <w:instrText xml:space="preserve"> SEQ RESPUESTA_N. \* ARABIC </w:instrText>
      </w:r>
      <w:r w:rsidRPr="00097873">
        <w:fldChar w:fldCharType="separate"/>
      </w:r>
      <w:r>
        <w:rPr>
          <w:noProof/>
        </w:rPr>
        <w:t>16</w:t>
      </w:r>
      <w:r w:rsidRPr="00097873">
        <w:fldChar w:fldCharType="end"/>
      </w:r>
      <w:r w:rsidRPr="00097873">
        <w:t xml:space="preserve">. </w:t>
      </w:r>
      <w:r w:rsidRPr="00B37730">
        <w:rPr>
          <w:lang w:val="es-CO" w:eastAsia="es-CO"/>
        </w:rPr>
        <w:t>OTROS / RES CRA 783 DE 2016</w:t>
      </w:r>
      <w:bookmarkEnd w:id="46"/>
    </w:p>
    <w:p w14:paraId="7E6B246D" w14:textId="77777777" w:rsidR="00BC2047" w:rsidRPr="00BC2047" w:rsidRDefault="00BC2047" w:rsidP="00BC2047">
      <w:pPr>
        <w:spacing w:after="0" w:line="240" w:lineRule="auto"/>
        <w:rPr>
          <w:lang w:val="es-CO" w:eastAsia="es-CO"/>
        </w:rPr>
      </w:pPr>
    </w:p>
    <w:p w14:paraId="6F616022" w14:textId="77777777" w:rsidR="00B37730" w:rsidRDefault="00BC2047" w:rsidP="00BC2047">
      <w:pPr>
        <w:spacing w:after="0" w:line="240" w:lineRule="auto"/>
        <w:jc w:val="both"/>
        <w:rPr>
          <w:rFonts w:ascii="Arial" w:hAnsi="Arial" w:cs="Arial"/>
          <w:sz w:val="20"/>
          <w:szCs w:val="20"/>
          <w:lang w:val="es-CO" w:eastAsia="es-CO"/>
        </w:rPr>
      </w:pPr>
      <w:r w:rsidRPr="00BC2047">
        <w:rPr>
          <w:rFonts w:ascii="Arial" w:hAnsi="Arial" w:cs="Arial"/>
          <w:sz w:val="20"/>
          <w:szCs w:val="20"/>
          <w:lang w:val="es-CO" w:eastAsia="es-CO"/>
        </w:rPr>
        <w:t>En relación con los tiempos asociados a la expedición de los Puntajes de Eficiencia Comparativa y al modelo de verificación tarifario expedido por la Superintendencia de Servicios Públicos Domiciliarios –SSPD , no están armonizados con el plazo previsto en el artículo 39 de la Resolución CRA 783 de 2017 para la modificación de costos económicos de referencia por grave error de cálculo”, se debe aclarar que el objeto de la resolución que está en participación ciudadana no es el mismo de la Resolución CRA 783 de 2016 ni tiene relación con el aplicativo SURICATRA de la SSPD, por lo que no aplica las consultas realizadas.</w:t>
      </w:r>
    </w:p>
    <w:p w14:paraId="05B1DFFB" w14:textId="77777777" w:rsidR="00BC2047" w:rsidRPr="00BC2047" w:rsidRDefault="00BC2047" w:rsidP="00BC2047">
      <w:pPr>
        <w:spacing w:after="0" w:line="240" w:lineRule="auto"/>
        <w:jc w:val="both"/>
        <w:rPr>
          <w:rFonts w:ascii="Arial" w:hAnsi="Arial" w:cs="Arial"/>
          <w:sz w:val="20"/>
          <w:szCs w:val="20"/>
          <w:lang w:val="es-CO" w:eastAsia="es-CO"/>
        </w:rPr>
      </w:pPr>
    </w:p>
    <w:p w14:paraId="13EA5BC1" w14:textId="77777777" w:rsidR="00B37730" w:rsidRDefault="00B37730" w:rsidP="00B37730">
      <w:pPr>
        <w:pStyle w:val="Ttulo2"/>
        <w:rPr>
          <w:lang w:val="es-CO" w:eastAsia="es-CO"/>
        </w:rPr>
      </w:pPr>
      <w:bookmarkStart w:id="47" w:name="_Toc506988595"/>
      <w:r>
        <w:t>RESPUESTA NO.</w:t>
      </w:r>
      <w:r w:rsidRPr="00097873">
        <w:fldChar w:fldCharType="begin"/>
      </w:r>
      <w:r w:rsidRPr="00097873">
        <w:instrText xml:space="preserve"> SEQ RESPUESTA_N. \* ARABIC </w:instrText>
      </w:r>
      <w:r w:rsidRPr="00097873">
        <w:fldChar w:fldCharType="separate"/>
      </w:r>
      <w:r>
        <w:rPr>
          <w:noProof/>
        </w:rPr>
        <w:t>17</w:t>
      </w:r>
      <w:r w:rsidRPr="00097873">
        <w:fldChar w:fldCharType="end"/>
      </w:r>
      <w:r w:rsidRPr="00097873">
        <w:t xml:space="preserve">. </w:t>
      </w:r>
      <w:r w:rsidRPr="00B37730">
        <w:rPr>
          <w:lang w:val="es-CO" w:eastAsia="es-CO"/>
        </w:rPr>
        <w:t>INFORMACIÓN S</w:t>
      </w:r>
      <w:r>
        <w:rPr>
          <w:lang w:val="es-CO" w:eastAsia="es-CO"/>
        </w:rPr>
        <w:t xml:space="preserve">UPERINTENDENCIA DE </w:t>
      </w:r>
      <w:r w:rsidRPr="00B37730">
        <w:rPr>
          <w:lang w:val="es-CO" w:eastAsia="es-CO"/>
        </w:rPr>
        <w:t>S</w:t>
      </w:r>
      <w:r>
        <w:rPr>
          <w:lang w:val="es-CO" w:eastAsia="es-CO"/>
        </w:rPr>
        <w:t xml:space="preserve">ERVICIOS </w:t>
      </w:r>
      <w:r w:rsidRPr="00B37730">
        <w:rPr>
          <w:lang w:val="es-CO" w:eastAsia="es-CO"/>
        </w:rPr>
        <w:t>P</w:t>
      </w:r>
      <w:r>
        <w:rPr>
          <w:lang w:val="es-CO" w:eastAsia="es-CO"/>
        </w:rPr>
        <w:t xml:space="preserve">ÚBLICOS </w:t>
      </w:r>
      <w:r w:rsidRPr="00B37730">
        <w:rPr>
          <w:lang w:val="es-CO" w:eastAsia="es-CO"/>
        </w:rPr>
        <w:t>D</w:t>
      </w:r>
      <w:r>
        <w:rPr>
          <w:lang w:val="es-CO" w:eastAsia="es-CO"/>
        </w:rPr>
        <w:t xml:space="preserve">OMICILIARIOS </w:t>
      </w:r>
      <w:r w:rsidR="007079EE">
        <w:rPr>
          <w:lang w:val="es-CO" w:eastAsia="es-CO"/>
        </w:rPr>
        <w:t>–</w:t>
      </w:r>
      <w:r>
        <w:rPr>
          <w:lang w:val="es-CO" w:eastAsia="es-CO"/>
        </w:rPr>
        <w:t>SSPD</w:t>
      </w:r>
      <w:bookmarkEnd w:id="47"/>
    </w:p>
    <w:p w14:paraId="62ED0751" w14:textId="77777777" w:rsidR="00EE7736" w:rsidRDefault="00EE7736" w:rsidP="007079EE">
      <w:pPr>
        <w:suppressAutoHyphens w:val="0"/>
        <w:autoSpaceDE w:val="0"/>
        <w:autoSpaceDN w:val="0"/>
        <w:adjustRightInd w:val="0"/>
        <w:spacing w:after="0" w:line="240" w:lineRule="auto"/>
        <w:jc w:val="both"/>
        <w:rPr>
          <w:rFonts w:ascii="Arial" w:hAnsi="Arial" w:cs="Arial"/>
          <w:sz w:val="20"/>
          <w:szCs w:val="20"/>
          <w:lang w:val="es-CO" w:eastAsia="es-CO"/>
        </w:rPr>
      </w:pPr>
    </w:p>
    <w:p w14:paraId="365FADC2" w14:textId="43244EBA" w:rsidR="007079EE" w:rsidRPr="00F7314C" w:rsidRDefault="007079EE" w:rsidP="007079EE">
      <w:pPr>
        <w:suppressAutoHyphens w:val="0"/>
        <w:autoSpaceDE w:val="0"/>
        <w:autoSpaceDN w:val="0"/>
        <w:adjustRightInd w:val="0"/>
        <w:spacing w:after="0" w:line="240" w:lineRule="auto"/>
        <w:jc w:val="both"/>
        <w:rPr>
          <w:rFonts w:ascii="Arial" w:hAnsi="Arial" w:cs="Arial"/>
          <w:sz w:val="20"/>
          <w:szCs w:val="20"/>
          <w:lang w:val="es-CO" w:eastAsia="es-CO"/>
        </w:rPr>
      </w:pPr>
      <w:r w:rsidRPr="00F7314C">
        <w:rPr>
          <w:rFonts w:ascii="Arial" w:hAnsi="Arial" w:cs="Arial"/>
          <w:sz w:val="20"/>
          <w:szCs w:val="20"/>
          <w:lang w:val="es-CO" w:eastAsia="es-CO"/>
        </w:rPr>
        <w:t xml:space="preserve">Para modificar, adicionar y aclarar la Resolución CRA 688 de 2014, esta Comisión de Regulación expidió la Resolución CRA 735 de 2015, publicada en el Diario Oficial 49.730 de 18 de diciembre de 2015 y en la cual, por medio del artículo 47, se modifica y adiciona el Anexo II de la Resolución CRA 688 de 2014; estableciendo que la metodología para determinar el </w:t>
      </w:r>
      <w:r>
        <w:rPr>
          <w:rFonts w:ascii="Arial" w:hAnsi="Arial" w:cs="Arial"/>
          <w:sz w:val="20"/>
          <w:szCs w:val="20"/>
          <w:lang w:val="es-CO" w:eastAsia="es-CO"/>
        </w:rPr>
        <w:t>P</w:t>
      </w:r>
      <w:r w:rsidRPr="00F7314C">
        <w:rPr>
          <w:rFonts w:ascii="Arial" w:hAnsi="Arial" w:cs="Arial"/>
          <w:sz w:val="20"/>
          <w:szCs w:val="20"/>
          <w:lang w:val="es-CO" w:eastAsia="es-CO"/>
        </w:rPr>
        <w:t xml:space="preserve">untaje de </w:t>
      </w:r>
      <w:r>
        <w:rPr>
          <w:rFonts w:ascii="Arial" w:hAnsi="Arial" w:cs="Arial"/>
          <w:sz w:val="20"/>
          <w:szCs w:val="20"/>
          <w:lang w:val="es-CO" w:eastAsia="es-CO"/>
        </w:rPr>
        <w:t>E</w:t>
      </w:r>
      <w:r w:rsidRPr="00F7314C">
        <w:rPr>
          <w:rFonts w:ascii="Arial" w:hAnsi="Arial" w:cs="Arial"/>
          <w:sz w:val="20"/>
          <w:szCs w:val="20"/>
          <w:lang w:val="es-CO" w:eastAsia="es-CO"/>
        </w:rPr>
        <w:t xml:space="preserve">ficiencia </w:t>
      </w:r>
      <w:r>
        <w:rPr>
          <w:rFonts w:ascii="Arial" w:hAnsi="Arial" w:cs="Arial"/>
          <w:sz w:val="20"/>
          <w:szCs w:val="20"/>
          <w:lang w:val="es-CO" w:eastAsia="es-CO"/>
        </w:rPr>
        <w:t>C</w:t>
      </w:r>
      <w:r w:rsidRPr="00F7314C">
        <w:rPr>
          <w:rFonts w:ascii="Arial" w:hAnsi="Arial" w:cs="Arial"/>
          <w:sz w:val="20"/>
          <w:szCs w:val="20"/>
          <w:lang w:val="es-CO" w:eastAsia="es-CO"/>
        </w:rPr>
        <w:t xml:space="preserve">omparativa </w:t>
      </w:r>
      <w:r>
        <w:rPr>
          <w:rFonts w:ascii="Arial" w:hAnsi="Arial" w:cs="Arial"/>
          <w:sz w:val="20"/>
          <w:szCs w:val="20"/>
          <w:lang w:val="es-CO" w:eastAsia="es-CO"/>
        </w:rPr>
        <w:t xml:space="preserve"> DEA - </w:t>
      </w:r>
      <w:r w:rsidRPr="00761DD5">
        <w:rPr>
          <w:rFonts w:ascii="Arial" w:hAnsi="Arial" w:cs="Arial"/>
          <w:sz w:val="20"/>
          <w:szCs w:val="20"/>
          <w:lang w:val="es-CO" w:eastAsia="es-CO"/>
        </w:rPr>
        <w:t>P</w:t>
      </w:r>
      <w:r w:rsidRPr="00761DD5">
        <w:rPr>
          <w:rFonts w:ascii="Arial" w:hAnsi="Arial" w:cs="Arial"/>
          <w:sz w:val="20"/>
          <w:szCs w:val="20"/>
          <w:vertAlign w:val="subscript"/>
          <w:lang w:val="es-CO" w:eastAsia="es-CO"/>
        </w:rPr>
        <w:t>DEA</w:t>
      </w:r>
      <w:r w:rsidRPr="00761DD5">
        <w:rPr>
          <w:rFonts w:ascii="Arial" w:hAnsi="Arial" w:cs="Arial"/>
          <w:sz w:val="20"/>
          <w:szCs w:val="20"/>
          <w:lang w:val="es-CO" w:eastAsia="es-CO"/>
        </w:rPr>
        <w:t xml:space="preserve"> </w:t>
      </w:r>
      <w:r w:rsidRPr="00F7314C">
        <w:rPr>
          <w:rFonts w:ascii="Arial" w:hAnsi="Arial" w:cs="Arial"/>
          <w:sz w:val="20"/>
          <w:szCs w:val="20"/>
          <w:lang w:val="es-CO" w:eastAsia="es-CO"/>
        </w:rPr>
        <w:t xml:space="preserve">de los costos administrativos y operativos comparables será el Análisis de la Envolvente de Datos (DEA: Data Envelopment Analysis), el cual aplica en las APS pertenecientes al primer segmento y en las APS en las que opten por aplicar la metodología del primer segmento. En la expedición de la </w:t>
      </w:r>
      <w:r>
        <w:rPr>
          <w:rFonts w:ascii="Arial" w:hAnsi="Arial" w:cs="Arial"/>
          <w:sz w:val="20"/>
          <w:szCs w:val="20"/>
          <w:lang w:val="es-CO" w:eastAsia="es-CO"/>
        </w:rPr>
        <w:t>R</w:t>
      </w:r>
      <w:r w:rsidRPr="00F7314C">
        <w:rPr>
          <w:rFonts w:ascii="Arial" w:hAnsi="Arial" w:cs="Arial"/>
          <w:sz w:val="20"/>
          <w:szCs w:val="20"/>
          <w:lang w:val="es-CO" w:eastAsia="es-CO"/>
        </w:rPr>
        <w:t>esolución se tuvieron en cuenta las observaciones recibidas dentro del proceso de participación ciu</w:t>
      </w:r>
      <w:r>
        <w:rPr>
          <w:rFonts w:ascii="Arial" w:hAnsi="Arial" w:cs="Arial"/>
          <w:sz w:val="20"/>
          <w:szCs w:val="20"/>
          <w:lang w:val="es-CO" w:eastAsia="es-CO"/>
        </w:rPr>
        <w:t>dadana otorgado al proyecto de R</w:t>
      </w:r>
      <w:r w:rsidRPr="00F7314C">
        <w:rPr>
          <w:rFonts w:ascii="Arial" w:hAnsi="Arial" w:cs="Arial"/>
          <w:sz w:val="20"/>
          <w:szCs w:val="20"/>
          <w:lang w:val="es-CO" w:eastAsia="es-CO"/>
        </w:rPr>
        <w:t>esolución contenido en la Resolución CRA 712 de 2015.</w:t>
      </w:r>
    </w:p>
    <w:p w14:paraId="0F99BBCE" w14:textId="77777777" w:rsidR="007079EE" w:rsidRPr="00F7314C" w:rsidRDefault="007079EE" w:rsidP="007079EE">
      <w:pPr>
        <w:tabs>
          <w:tab w:val="left" w:pos="2850"/>
        </w:tabs>
        <w:spacing w:after="0" w:line="240" w:lineRule="auto"/>
        <w:ind w:right="18"/>
        <w:jc w:val="both"/>
        <w:rPr>
          <w:rFonts w:ascii="Arial" w:hAnsi="Arial" w:cs="Arial"/>
          <w:sz w:val="20"/>
          <w:szCs w:val="20"/>
          <w:lang w:eastAsia="zh-CN"/>
        </w:rPr>
      </w:pPr>
    </w:p>
    <w:p w14:paraId="17C67686" w14:textId="77777777" w:rsidR="007079EE" w:rsidRPr="00F7314C" w:rsidRDefault="007079EE" w:rsidP="007079EE">
      <w:pPr>
        <w:spacing w:after="0" w:line="240" w:lineRule="auto"/>
        <w:jc w:val="both"/>
        <w:rPr>
          <w:rFonts w:ascii="Arial" w:hAnsi="Arial" w:cs="Arial"/>
          <w:i/>
          <w:sz w:val="20"/>
          <w:szCs w:val="20"/>
          <w:lang w:val="es-MX" w:eastAsia="zh-CN"/>
        </w:rPr>
      </w:pPr>
      <w:r w:rsidRPr="00F7314C">
        <w:rPr>
          <w:rFonts w:ascii="Arial" w:hAnsi="Arial" w:cs="Arial"/>
          <w:sz w:val="20"/>
          <w:szCs w:val="20"/>
          <w:lang w:val="es-CO" w:eastAsia="zh-CN"/>
        </w:rPr>
        <w:t>Así mismo, en el numeral 7 del Anexo II</w:t>
      </w:r>
      <w:r w:rsidRPr="007162F2">
        <w:rPr>
          <w:rFonts w:ascii="Arial" w:hAnsi="Arial" w:cs="Arial"/>
          <w:sz w:val="20"/>
          <w:szCs w:val="20"/>
          <w:lang w:val="es-CO" w:eastAsia="es-CO"/>
        </w:rPr>
        <w:t xml:space="preserve"> </w:t>
      </w:r>
      <w:r w:rsidRPr="00F7314C">
        <w:rPr>
          <w:rFonts w:ascii="Arial" w:hAnsi="Arial" w:cs="Arial"/>
          <w:sz w:val="20"/>
          <w:szCs w:val="20"/>
          <w:lang w:val="es-CO" w:eastAsia="es-CO"/>
        </w:rPr>
        <w:t>de la Resolución CRA 688 de 2014</w:t>
      </w:r>
      <w:r w:rsidRPr="00F7314C">
        <w:rPr>
          <w:rFonts w:ascii="Arial" w:hAnsi="Arial" w:cs="Arial"/>
          <w:sz w:val="20"/>
          <w:szCs w:val="20"/>
          <w:lang w:val="es-CO" w:eastAsia="zh-CN"/>
        </w:rPr>
        <w:t>, se estableció el plazo para el reporte de información cargada en el SUI por parte de las personas prestadoras, señalando que “</w:t>
      </w:r>
      <w:r w:rsidRPr="00F7314C">
        <w:rPr>
          <w:rFonts w:ascii="Arial" w:hAnsi="Arial" w:cs="Arial"/>
          <w:i/>
          <w:sz w:val="20"/>
          <w:szCs w:val="20"/>
          <w:lang w:val="es-ES_tradnl"/>
        </w:rPr>
        <w:t xml:space="preserve">Las personas prestadoras de los servicios públicos domiciliarios de acueducto y alcantarillado con APS del primer segmento y aquellas con APS del segundo segmento que opten por aplicar la metodología del primer segmento, </w:t>
      </w:r>
      <w:r w:rsidRPr="00F7314C">
        <w:rPr>
          <w:rFonts w:ascii="Arial" w:hAnsi="Arial" w:cs="Arial"/>
          <w:i/>
          <w:sz w:val="20"/>
          <w:szCs w:val="20"/>
          <w:u w:val="single"/>
          <w:lang w:val="es-ES_tradnl"/>
        </w:rPr>
        <w:t xml:space="preserve">cuentan con un plazo de un (1) mes contado a partir de la publicación en el Diario Oficial de la presente resolución modificatoria de la Resolución CRA 688 de 2014 para revisar la totalidad de la información cargada al SUI descrita anteriormente. </w:t>
      </w:r>
      <w:r w:rsidRPr="00F7314C">
        <w:rPr>
          <w:rFonts w:ascii="Arial" w:hAnsi="Arial" w:cs="Arial"/>
          <w:i/>
          <w:sz w:val="20"/>
          <w:szCs w:val="20"/>
          <w:lang w:val="es-ES_tradnl"/>
        </w:rPr>
        <w:t>Una vez vencido este plazo de un (1) mes la SSPD enviará un archivo Excel con el reporte de costos administrativos y operativos comparables para los años 2013 y 2014. Dicha información deberá ser remitida mediante comunicación suscrita por el representante legal de la empresa en un plazo de cinco (5) días hábiles contados a partir de la fecha de recibo del archivo Excel.”</w:t>
      </w:r>
      <w:r w:rsidRPr="00F7314C">
        <w:rPr>
          <w:rFonts w:ascii="Arial" w:hAnsi="Arial" w:cs="Arial"/>
          <w:sz w:val="20"/>
          <w:szCs w:val="20"/>
          <w:lang w:val="es-ES_tradnl"/>
        </w:rPr>
        <w:t xml:space="preserve"> (Subrayado fuera de texto original).</w:t>
      </w:r>
    </w:p>
    <w:p w14:paraId="33BDBE5C" w14:textId="77777777" w:rsidR="007079EE" w:rsidRPr="00F7314C" w:rsidRDefault="007079EE" w:rsidP="007079EE">
      <w:pPr>
        <w:spacing w:after="0" w:line="240" w:lineRule="auto"/>
        <w:ind w:left="851" w:right="851"/>
        <w:jc w:val="both"/>
        <w:rPr>
          <w:rFonts w:ascii="Arial" w:hAnsi="Arial" w:cs="Arial"/>
          <w:i/>
          <w:sz w:val="20"/>
          <w:szCs w:val="20"/>
          <w:lang w:val="es-MX" w:eastAsia="zh-CN"/>
        </w:rPr>
      </w:pPr>
    </w:p>
    <w:p w14:paraId="113C946F" w14:textId="77777777" w:rsidR="007079EE" w:rsidRPr="00F7314C" w:rsidRDefault="007079EE" w:rsidP="007079EE">
      <w:pPr>
        <w:tabs>
          <w:tab w:val="left" w:pos="2850"/>
        </w:tabs>
        <w:spacing w:after="0" w:line="240" w:lineRule="auto"/>
        <w:ind w:right="18"/>
        <w:jc w:val="both"/>
        <w:rPr>
          <w:rFonts w:ascii="Arial" w:hAnsi="Arial" w:cs="Arial"/>
          <w:sz w:val="20"/>
          <w:szCs w:val="20"/>
          <w:lang w:eastAsia="zh-CN"/>
        </w:rPr>
      </w:pPr>
      <w:r w:rsidRPr="00F7314C">
        <w:rPr>
          <w:rFonts w:ascii="Arial" w:hAnsi="Arial" w:cs="Arial"/>
          <w:sz w:val="20"/>
          <w:szCs w:val="20"/>
          <w:lang w:eastAsia="zh-CN"/>
        </w:rPr>
        <w:t xml:space="preserve">Este plazo se contabilizó a partir del 18 de diciembre de 2015, fecha de publicación en el Diario Oficial No. 49.730 de la Resolución CRA 735 de 2015, </w:t>
      </w:r>
      <w:r>
        <w:rPr>
          <w:rFonts w:ascii="Arial" w:hAnsi="Arial" w:cs="Arial"/>
          <w:sz w:val="20"/>
          <w:szCs w:val="20"/>
          <w:lang w:eastAsia="zh-CN"/>
        </w:rPr>
        <w:t>expedida el</w:t>
      </w:r>
      <w:r w:rsidRPr="00F7314C">
        <w:rPr>
          <w:rFonts w:ascii="Arial" w:hAnsi="Arial" w:cs="Arial"/>
          <w:sz w:val="20"/>
          <w:szCs w:val="20"/>
          <w:lang w:val="es-MX" w:eastAsia="zh-CN"/>
        </w:rPr>
        <w:t xml:space="preserve"> 9 de diciembre del año 2015</w:t>
      </w:r>
      <w:r w:rsidRPr="00F7314C">
        <w:rPr>
          <w:rFonts w:ascii="Arial" w:hAnsi="Arial" w:cs="Arial"/>
          <w:sz w:val="20"/>
          <w:szCs w:val="20"/>
          <w:lang w:eastAsia="zh-CN"/>
        </w:rPr>
        <w:t>; y en razón a lo anterior, dicho plaz</w:t>
      </w:r>
      <w:r>
        <w:rPr>
          <w:rFonts w:ascii="Arial" w:hAnsi="Arial" w:cs="Arial"/>
          <w:sz w:val="20"/>
          <w:szCs w:val="20"/>
          <w:lang w:eastAsia="zh-CN"/>
        </w:rPr>
        <w:t>o venció el 18 de enero de 2016</w:t>
      </w:r>
      <w:r w:rsidRPr="00F7314C">
        <w:rPr>
          <w:rFonts w:ascii="Arial" w:hAnsi="Arial" w:cs="Arial"/>
          <w:sz w:val="20"/>
          <w:szCs w:val="20"/>
          <w:lang w:eastAsia="zh-CN"/>
        </w:rPr>
        <w:t>.</w:t>
      </w:r>
    </w:p>
    <w:p w14:paraId="5C1724F6" w14:textId="77777777" w:rsidR="007079EE" w:rsidRPr="00F7314C" w:rsidRDefault="007079EE" w:rsidP="007079EE">
      <w:pPr>
        <w:tabs>
          <w:tab w:val="left" w:pos="2850"/>
        </w:tabs>
        <w:spacing w:after="0" w:line="240" w:lineRule="auto"/>
        <w:ind w:right="18"/>
        <w:jc w:val="both"/>
        <w:rPr>
          <w:rFonts w:ascii="Arial" w:hAnsi="Arial" w:cs="Arial"/>
          <w:sz w:val="20"/>
          <w:szCs w:val="20"/>
          <w:lang w:eastAsia="zh-CN"/>
        </w:rPr>
      </w:pPr>
    </w:p>
    <w:p w14:paraId="7EF1EBDF" w14:textId="77777777" w:rsidR="007079EE" w:rsidRPr="00F7314C" w:rsidRDefault="007079EE" w:rsidP="007079EE">
      <w:pPr>
        <w:spacing w:after="0" w:line="240" w:lineRule="auto"/>
        <w:jc w:val="both"/>
        <w:rPr>
          <w:rFonts w:ascii="Arial" w:hAnsi="Arial" w:cs="Arial"/>
          <w:sz w:val="20"/>
          <w:szCs w:val="20"/>
          <w:lang w:val="es-MX" w:eastAsia="zh-CN"/>
        </w:rPr>
      </w:pPr>
      <w:r w:rsidRPr="00F7314C">
        <w:rPr>
          <w:rFonts w:ascii="Arial" w:hAnsi="Arial" w:cs="Arial"/>
          <w:sz w:val="20"/>
          <w:szCs w:val="20"/>
          <w:lang w:val="es-MX" w:eastAsia="zh-CN"/>
        </w:rPr>
        <w:t xml:space="preserve">De igual forma, </w:t>
      </w:r>
      <w:r>
        <w:rPr>
          <w:rFonts w:ascii="Arial" w:hAnsi="Arial" w:cs="Arial"/>
          <w:sz w:val="20"/>
          <w:szCs w:val="20"/>
          <w:lang w:val="es-MX" w:eastAsia="zh-CN"/>
        </w:rPr>
        <w:t>por medio d</w:t>
      </w:r>
      <w:r w:rsidRPr="00F7314C">
        <w:rPr>
          <w:rFonts w:ascii="Arial" w:hAnsi="Arial" w:cs="Arial"/>
          <w:sz w:val="20"/>
          <w:szCs w:val="20"/>
          <w:lang w:val="es-MX" w:eastAsia="zh-CN"/>
        </w:rPr>
        <w:t>el parágrafo 3</w:t>
      </w:r>
      <w:r w:rsidRPr="00F7314C">
        <w:rPr>
          <w:rFonts w:ascii="Arial" w:hAnsi="Arial" w:cs="Arial"/>
          <w:sz w:val="20"/>
          <w:szCs w:val="20"/>
          <w:vertAlign w:val="superscript"/>
          <w:lang w:val="es-MX" w:eastAsia="zh-CN"/>
        </w:rPr>
        <w:footnoteReference w:id="31"/>
      </w:r>
      <w:r w:rsidRPr="00F7314C">
        <w:rPr>
          <w:rFonts w:ascii="Arial" w:hAnsi="Arial" w:cs="Arial"/>
          <w:sz w:val="20"/>
          <w:szCs w:val="20"/>
          <w:lang w:val="es-MX" w:eastAsia="zh-CN"/>
        </w:rPr>
        <w:t xml:space="preserve"> de los artículos 26 y 33 de la Resolución CRA 688 de 2014, se indicó que la CRA evaluaría la información reportada por las personas prestadoras relacionadas en el numeral 8 del Anexo II de la</w:t>
      </w:r>
      <w:r>
        <w:rPr>
          <w:rFonts w:ascii="Arial" w:hAnsi="Arial" w:cs="Arial"/>
          <w:sz w:val="20"/>
          <w:szCs w:val="20"/>
          <w:lang w:val="es-MX" w:eastAsia="zh-CN"/>
        </w:rPr>
        <w:t xml:space="preserve"> misma resolución</w:t>
      </w:r>
      <w:r w:rsidRPr="00F7314C">
        <w:rPr>
          <w:rFonts w:ascii="Arial" w:hAnsi="Arial" w:cs="Arial"/>
          <w:sz w:val="20"/>
          <w:szCs w:val="20"/>
          <w:lang w:val="es-MX" w:eastAsia="zh-CN"/>
        </w:rPr>
        <w:t>, con el fin de determinar el cumplimiento en el año base de los parámetros mínimos para la inclusión en el modelo y la no presentación de datos atípicos en la información reportada en el SUI para la serie de tiempo 2010</w:t>
      </w:r>
      <w:r>
        <w:rPr>
          <w:rFonts w:ascii="Arial" w:hAnsi="Arial" w:cs="Arial"/>
          <w:sz w:val="20"/>
          <w:szCs w:val="20"/>
          <w:lang w:val="es-MX" w:eastAsia="zh-CN"/>
        </w:rPr>
        <w:t xml:space="preserve"> </w:t>
      </w:r>
      <w:r w:rsidRPr="00F7314C">
        <w:rPr>
          <w:rFonts w:ascii="Arial" w:hAnsi="Arial" w:cs="Arial"/>
          <w:sz w:val="20"/>
          <w:szCs w:val="20"/>
          <w:lang w:val="es-MX" w:eastAsia="zh-CN"/>
        </w:rPr>
        <w:t>-</w:t>
      </w:r>
      <w:r>
        <w:rPr>
          <w:rFonts w:ascii="Arial" w:hAnsi="Arial" w:cs="Arial"/>
          <w:sz w:val="20"/>
          <w:szCs w:val="20"/>
          <w:lang w:val="es-MX" w:eastAsia="zh-CN"/>
        </w:rPr>
        <w:t xml:space="preserve"> </w:t>
      </w:r>
      <w:r w:rsidRPr="00F7314C">
        <w:rPr>
          <w:rFonts w:ascii="Arial" w:hAnsi="Arial" w:cs="Arial"/>
          <w:sz w:val="20"/>
          <w:szCs w:val="20"/>
          <w:lang w:val="es-MX" w:eastAsia="zh-CN"/>
        </w:rPr>
        <w:t>2014.</w:t>
      </w:r>
    </w:p>
    <w:p w14:paraId="21F2C98B" w14:textId="77777777" w:rsidR="007079EE" w:rsidRPr="00F7314C" w:rsidRDefault="007079EE" w:rsidP="007079EE">
      <w:pPr>
        <w:spacing w:after="0" w:line="240" w:lineRule="auto"/>
        <w:jc w:val="both"/>
        <w:rPr>
          <w:rFonts w:ascii="Arial" w:hAnsi="Arial" w:cs="Arial"/>
          <w:sz w:val="20"/>
          <w:szCs w:val="20"/>
          <w:lang w:val="es-MX" w:eastAsia="zh-CN"/>
        </w:rPr>
      </w:pPr>
    </w:p>
    <w:p w14:paraId="7A2A92F6" w14:textId="77777777" w:rsidR="007079EE" w:rsidRDefault="007079EE" w:rsidP="007079EE">
      <w:pPr>
        <w:spacing w:after="0" w:line="240" w:lineRule="auto"/>
        <w:jc w:val="both"/>
        <w:rPr>
          <w:rFonts w:ascii="Arial" w:hAnsi="Arial" w:cs="Arial"/>
          <w:sz w:val="20"/>
          <w:szCs w:val="20"/>
          <w:lang w:val="es-CO" w:eastAsia="es-CO"/>
        </w:rPr>
      </w:pPr>
      <w:r w:rsidRPr="00F7314C">
        <w:rPr>
          <w:rFonts w:ascii="Arial" w:hAnsi="Arial" w:cs="Arial"/>
          <w:sz w:val="20"/>
          <w:szCs w:val="20"/>
          <w:lang w:val="es-CO"/>
        </w:rPr>
        <w:t xml:space="preserve">Para </w:t>
      </w:r>
      <w:r w:rsidRPr="00F7314C">
        <w:rPr>
          <w:rFonts w:ascii="Arial" w:hAnsi="Arial" w:cs="Arial"/>
          <w:sz w:val="20"/>
          <w:szCs w:val="20"/>
        </w:rPr>
        <w:t xml:space="preserve">determinar la consistencia de la información reportada al SUI para el período 2010 - 2014 y como se explicó en la página 83 del documento de respuestas a las observaciones recibidas en el proceso de participación ciudadana de la Resolución CRA 712 de 2015, esta Comisión de Regulación revisó la existencia de datos atípicos, </w:t>
      </w:r>
      <w:r w:rsidRPr="00F7314C">
        <w:rPr>
          <w:rFonts w:ascii="Arial" w:hAnsi="Arial" w:cs="Arial"/>
          <w:sz w:val="20"/>
          <w:szCs w:val="20"/>
        </w:rPr>
        <w:lastRenderedPageBreak/>
        <w:t xml:space="preserve">a través de un análisis de dispersión (caja de bigotes), es decir, </w:t>
      </w:r>
      <w:r w:rsidRPr="00F7314C">
        <w:rPr>
          <w:rFonts w:ascii="Arial" w:hAnsi="Arial" w:cs="Arial"/>
          <w:sz w:val="20"/>
          <w:szCs w:val="20"/>
          <w:lang w:val="es-CO" w:eastAsia="es-CO"/>
        </w:rPr>
        <w:t>aquellos datos que estaban por fuera del percentil 25 menos 1,5 veces el rango intercuartílico y del percentil 75 más 1,5 veces el rango intercuartílico, se calificaron como atípicos</w:t>
      </w:r>
      <w:r w:rsidRPr="00F7314C">
        <w:rPr>
          <w:rStyle w:val="Refdenotaalpie"/>
          <w:rFonts w:ascii="Arial" w:hAnsi="Arial" w:cs="Arial"/>
          <w:lang w:val="es-CO" w:eastAsia="es-CO"/>
        </w:rPr>
        <w:footnoteReference w:id="32"/>
      </w:r>
      <w:r w:rsidRPr="00F7314C">
        <w:rPr>
          <w:rFonts w:ascii="Arial" w:hAnsi="Arial" w:cs="Arial"/>
          <w:sz w:val="20"/>
          <w:szCs w:val="20"/>
          <w:lang w:val="es-CO" w:eastAsia="es-CO"/>
        </w:rPr>
        <w:t>.</w:t>
      </w:r>
      <w:r w:rsidRPr="00F7314C">
        <w:rPr>
          <w:rFonts w:ascii="Arial" w:hAnsi="Arial" w:cs="Arial"/>
          <w:i/>
          <w:sz w:val="20"/>
          <w:szCs w:val="20"/>
          <w:lang w:val="es-CO" w:eastAsia="es-CO"/>
        </w:rPr>
        <w:t xml:space="preserve"> </w:t>
      </w:r>
      <w:r w:rsidRPr="00F7314C">
        <w:rPr>
          <w:rFonts w:ascii="Arial" w:hAnsi="Arial" w:cs="Arial"/>
          <w:sz w:val="20"/>
          <w:szCs w:val="20"/>
        </w:rPr>
        <w:t>Este criterio es concordante con la existencia de pocos datos sujetos de análisis y con la especificación del modelo de eficiencia comparativa DEA, pues el mismo es no paramétrico, de modo que no supone una distribución específica de los datos. Adicionalmente</w:t>
      </w:r>
      <w:r w:rsidRPr="00F7314C">
        <w:rPr>
          <w:rFonts w:ascii="Arial" w:hAnsi="Arial" w:cs="Arial"/>
          <w:sz w:val="20"/>
          <w:szCs w:val="20"/>
          <w:lang w:val="es-CO" w:eastAsia="es-CO"/>
        </w:rPr>
        <w:t>, se consideró que el no reporte de información en uno de los años de la serie configuraba un reporte insatisfactorio.</w:t>
      </w:r>
      <w:r w:rsidRPr="00F7314C" w:rsidDel="002C597C">
        <w:rPr>
          <w:rFonts w:ascii="Arial" w:hAnsi="Arial" w:cs="Arial"/>
          <w:sz w:val="20"/>
          <w:szCs w:val="20"/>
          <w:lang w:val="es-CO" w:eastAsia="es-CO"/>
        </w:rPr>
        <w:t xml:space="preserve"> </w:t>
      </w:r>
    </w:p>
    <w:p w14:paraId="4E54F3C8" w14:textId="77777777" w:rsidR="007079EE" w:rsidRDefault="007079EE" w:rsidP="007079EE">
      <w:pPr>
        <w:spacing w:after="0" w:line="240" w:lineRule="auto"/>
        <w:jc w:val="both"/>
        <w:rPr>
          <w:rFonts w:ascii="Arial" w:hAnsi="Arial" w:cs="Arial"/>
          <w:sz w:val="20"/>
          <w:szCs w:val="20"/>
          <w:lang w:val="es-CO" w:eastAsia="es-CO"/>
        </w:rPr>
      </w:pPr>
    </w:p>
    <w:p w14:paraId="2C1928C8" w14:textId="77777777" w:rsidR="007079EE" w:rsidRDefault="007079EE" w:rsidP="007079EE">
      <w:pPr>
        <w:spacing w:after="0" w:line="240" w:lineRule="auto"/>
        <w:jc w:val="both"/>
        <w:rPr>
          <w:rFonts w:ascii="Arial" w:hAnsi="Arial" w:cs="Arial"/>
          <w:sz w:val="20"/>
          <w:szCs w:val="20"/>
        </w:rPr>
      </w:pPr>
      <w:r>
        <w:rPr>
          <w:rFonts w:ascii="Arial" w:hAnsi="Arial" w:cs="Arial"/>
          <w:sz w:val="20"/>
          <w:szCs w:val="20"/>
        </w:rPr>
        <w:t xml:space="preserve">Así mismo, </w:t>
      </w:r>
      <w:r w:rsidRPr="003C4A91">
        <w:rPr>
          <w:rFonts w:ascii="Arial" w:hAnsi="Arial" w:cs="Arial"/>
          <w:sz w:val="20"/>
          <w:szCs w:val="20"/>
        </w:rPr>
        <w:t>en el Anexo II de la Resolución CRA 688 de 2014, se estableció que los datos atípicos por errores de digitación se consideraban datos no justificables.</w:t>
      </w:r>
    </w:p>
    <w:p w14:paraId="5C3E546D" w14:textId="77777777" w:rsidR="007079EE" w:rsidRPr="00F7314C" w:rsidRDefault="007079EE" w:rsidP="007079EE">
      <w:pPr>
        <w:spacing w:after="0" w:line="240" w:lineRule="auto"/>
        <w:ind w:right="49"/>
        <w:jc w:val="both"/>
        <w:rPr>
          <w:rFonts w:ascii="Arial" w:hAnsi="Arial" w:cs="Arial"/>
          <w:i/>
          <w:sz w:val="20"/>
          <w:szCs w:val="20"/>
          <w:lang w:val="es-CO" w:eastAsia="es-CO"/>
        </w:rPr>
      </w:pPr>
    </w:p>
    <w:p w14:paraId="5E39B648" w14:textId="77777777" w:rsidR="007079EE" w:rsidRPr="00F7314C" w:rsidRDefault="007079EE" w:rsidP="007079EE">
      <w:pPr>
        <w:spacing w:after="0" w:line="240" w:lineRule="auto"/>
        <w:jc w:val="both"/>
        <w:rPr>
          <w:rFonts w:ascii="Arial" w:hAnsi="Arial" w:cs="Arial"/>
          <w:sz w:val="20"/>
          <w:szCs w:val="20"/>
          <w:lang w:val="es-MX" w:eastAsia="zh-CN"/>
        </w:rPr>
      </w:pPr>
      <w:r w:rsidRPr="00F7314C">
        <w:rPr>
          <w:rFonts w:ascii="Arial" w:hAnsi="Arial" w:cs="Arial"/>
          <w:sz w:val="20"/>
          <w:szCs w:val="20"/>
          <w:lang w:val="es-MX" w:eastAsia="zh-CN"/>
        </w:rPr>
        <w:t xml:space="preserve">En razón de lo anterior, una vez vencido el plazo señalado anteriormente esta Comisión de Regulación solicitó a la Superintendencia de Servicios Públicos Domiciliarios </w:t>
      </w:r>
      <w:r>
        <w:rPr>
          <w:rFonts w:ascii="Arial" w:hAnsi="Arial" w:cs="Arial"/>
          <w:sz w:val="20"/>
          <w:szCs w:val="20"/>
          <w:lang w:val="es-MX" w:eastAsia="zh-CN"/>
        </w:rPr>
        <w:t>-</w:t>
      </w:r>
      <w:r w:rsidRPr="00F7314C">
        <w:rPr>
          <w:rFonts w:ascii="Arial" w:hAnsi="Arial" w:cs="Arial"/>
          <w:sz w:val="20"/>
          <w:szCs w:val="20"/>
          <w:lang w:val="es-MX" w:eastAsia="zh-CN"/>
        </w:rPr>
        <w:t xml:space="preserve"> SSPD el envío de la información cargada por los prestadores con APS del primer segmento al SUI, información que fue recibida mediante comunicación con radicado CRA 2016-321-001312-2 de 19 de febrero de 2016, una vez la Superintendencia dio por finalizados los trámites de reversión solicitados por las empresas.</w:t>
      </w:r>
    </w:p>
    <w:p w14:paraId="6712DC71" w14:textId="77777777" w:rsidR="007079EE" w:rsidRPr="00F7314C" w:rsidRDefault="007079EE" w:rsidP="007079EE">
      <w:pPr>
        <w:spacing w:after="0" w:line="240" w:lineRule="auto"/>
        <w:jc w:val="both"/>
        <w:rPr>
          <w:rFonts w:ascii="Arial" w:hAnsi="Arial" w:cs="Arial"/>
          <w:sz w:val="20"/>
          <w:szCs w:val="20"/>
          <w:lang w:val="es-MX" w:eastAsia="zh-CN"/>
        </w:rPr>
      </w:pPr>
    </w:p>
    <w:p w14:paraId="599FD7A8" w14:textId="77777777" w:rsidR="007079EE" w:rsidRPr="00F7314C" w:rsidRDefault="007079EE" w:rsidP="007079EE">
      <w:pPr>
        <w:spacing w:after="0" w:line="240" w:lineRule="auto"/>
        <w:jc w:val="both"/>
        <w:rPr>
          <w:rFonts w:ascii="Arial" w:hAnsi="Arial" w:cs="Arial"/>
          <w:sz w:val="20"/>
          <w:szCs w:val="20"/>
          <w:lang w:val="es-MX" w:eastAsia="zh-CN"/>
        </w:rPr>
      </w:pPr>
      <w:r w:rsidRPr="00F7314C">
        <w:rPr>
          <w:rFonts w:ascii="Arial" w:hAnsi="Arial" w:cs="Arial"/>
          <w:sz w:val="20"/>
          <w:szCs w:val="20"/>
          <w:lang w:val="es-MX" w:eastAsia="zh-CN"/>
        </w:rPr>
        <w:t>Con base en la información remitida por la S</w:t>
      </w:r>
      <w:r>
        <w:rPr>
          <w:rFonts w:ascii="Arial" w:hAnsi="Arial" w:cs="Arial"/>
          <w:sz w:val="20"/>
          <w:szCs w:val="20"/>
          <w:lang w:val="es-MX" w:eastAsia="zh-CN"/>
        </w:rPr>
        <w:t>uperintendencia</w:t>
      </w:r>
      <w:r w:rsidRPr="00F7314C">
        <w:rPr>
          <w:rFonts w:ascii="Arial" w:hAnsi="Arial" w:cs="Arial"/>
          <w:sz w:val="20"/>
          <w:szCs w:val="20"/>
          <w:lang w:val="es-MX" w:eastAsia="zh-CN"/>
        </w:rPr>
        <w:t xml:space="preserve">, la CRA surtió el proceso de revisión y análisis de la información cargada al Sistema Único de Información </w:t>
      </w:r>
      <w:r>
        <w:rPr>
          <w:rFonts w:ascii="Arial" w:hAnsi="Arial" w:cs="Arial"/>
          <w:sz w:val="20"/>
          <w:szCs w:val="20"/>
          <w:lang w:val="es-MX" w:eastAsia="zh-CN"/>
        </w:rPr>
        <w:t>-</w:t>
      </w:r>
      <w:r w:rsidRPr="00F7314C">
        <w:rPr>
          <w:rFonts w:ascii="Arial" w:hAnsi="Arial" w:cs="Arial"/>
          <w:sz w:val="20"/>
          <w:szCs w:val="20"/>
          <w:lang w:val="es-MX" w:eastAsia="zh-CN"/>
        </w:rPr>
        <w:t xml:space="preserve"> SUI, concluyendo que ninguna de las personas prestadoras listadas en el numeral 8 del Anexo II de la Resolución CRA 688 de 2014, cumplía con los parámetros mínimos de inclusión y con la no presentación de datos atípicos en la información reportada para la serie de tiempo 2010 </w:t>
      </w:r>
      <w:r>
        <w:rPr>
          <w:rFonts w:ascii="Arial" w:hAnsi="Arial" w:cs="Arial"/>
          <w:sz w:val="20"/>
          <w:szCs w:val="20"/>
          <w:lang w:val="es-MX" w:eastAsia="zh-CN"/>
        </w:rPr>
        <w:t>– 2014.</w:t>
      </w:r>
    </w:p>
    <w:p w14:paraId="6421247E" w14:textId="77777777" w:rsidR="007079EE" w:rsidRPr="00F7314C" w:rsidRDefault="007079EE" w:rsidP="007079EE">
      <w:pPr>
        <w:spacing w:after="0" w:line="240" w:lineRule="auto"/>
        <w:jc w:val="both"/>
        <w:rPr>
          <w:rFonts w:ascii="Arial" w:hAnsi="Arial" w:cs="Arial"/>
          <w:sz w:val="20"/>
          <w:szCs w:val="20"/>
          <w:lang w:val="es-MX" w:eastAsia="zh-CN"/>
        </w:rPr>
      </w:pPr>
    </w:p>
    <w:p w14:paraId="6681D528" w14:textId="77777777" w:rsidR="007079EE" w:rsidRPr="00F7314C" w:rsidRDefault="007079EE" w:rsidP="007079EE">
      <w:pPr>
        <w:pStyle w:val="Textocomentario"/>
        <w:spacing w:after="0" w:line="240" w:lineRule="auto"/>
        <w:jc w:val="both"/>
        <w:rPr>
          <w:rFonts w:ascii="Arial" w:hAnsi="Arial" w:cs="Arial"/>
          <w:lang w:val="es-CO"/>
        </w:rPr>
      </w:pPr>
      <w:r>
        <w:rPr>
          <w:rFonts w:ascii="Arial" w:hAnsi="Arial" w:cs="Arial"/>
          <w:lang w:val="es-CO"/>
        </w:rPr>
        <w:t>T</w:t>
      </w:r>
      <w:r w:rsidRPr="00F7314C">
        <w:rPr>
          <w:rFonts w:ascii="Arial" w:hAnsi="Arial" w:cs="Arial"/>
          <w:lang w:val="es-CO"/>
        </w:rPr>
        <w:t>eniendo en cuenta que el modelo DEA se considera la mejor herramienta disponible para la medición de la eficiencia comparativa, y dado que la información reportada por los prestadores no cumplía con los requisitos y parámetros solicitados</w:t>
      </w:r>
      <w:r w:rsidRPr="00F7314C">
        <w:rPr>
          <w:rFonts w:ascii="Arial" w:hAnsi="Arial" w:cs="Arial"/>
          <w:lang w:val="es-CO" w:eastAsia="zh-CN"/>
        </w:rPr>
        <w:t xml:space="preserve"> para </w:t>
      </w:r>
      <w:r w:rsidRPr="00F7314C">
        <w:rPr>
          <w:rFonts w:ascii="Arial" w:hAnsi="Arial" w:cs="Arial"/>
        </w:rPr>
        <w:t xml:space="preserve">determinar el </w:t>
      </w:r>
      <w:r>
        <w:rPr>
          <w:rFonts w:ascii="Arial" w:hAnsi="Arial" w:cs="Arial"/>
        </w:rPr>
        <w:t>P</w:t>
      </w:r>
      <w:r w:rsidRPr="00F7314C">
        <w:rPr>
          <w:rFonts w:ascii="Arial" w:hAnsi="Arial" w:cs="Arial"/>
        </w:rPr>
        <w:t xml:space="preserve">untaje de </w:t>
      </w:r>
      <w:r>
        <w:rPr>
          <w:rFonts w:ascii="Arial" w:hAnsi="Arial" w:cs="Arial"/>
        </w:rPr>
        <w:t>E</w:t>
      </w:r>
      <w:r w:rsidRPr="00F7314C">
        <w:rPr>
          <w:rFonts w:ascii="Arial" w:hAnsi="Arial" w:cs="Arial"/>
        </w:rPr>
        <w:t xml:space="preserve">ficiencia </w:t>
      </w:r>
      <w:r>
        <w:rPr>
          <w:rFonts w:ascii="Arial" w:hAnsi="Arial" w:cs="Arial"/>
        </w:rPr>
        <w:t>C</w:t>
      </w:r>
      <w:r w:rsidRPr="00F7314C">
        <w:rPr>
          <w:rFonts w:ascii="Arial" w:hAnsi="Arial" w:cs="Arial"/>
        </w:rPr>
        <w:t>omparativa</w:t>
      </w:r>
      <w:r>
        <w:rPr>
          <w:rFonts w:ascii="Arial" w:hAnsi="Arial" w:cs="Arial"/>
        </w:rPr>
        <w:t xml:space="preserve"> DEA -</w:t>
      </w:r>
      <w:r w:rsidRPr="00F7314C">
        <w:rPr>
          <w:rFonts w:ascii="Arial" w:hAnsi="Arial" w:cs="Arial"/>
          <w:i/>
        </w:rPr>
        <w:t xml:space="preserve"> </w:t>
      </w:r>
      <w:r w:rsidRPr="00A7520D">
        <w:rPr>
          <w:rFonts w:ascii="Arial" w:hAnsi="Arial" w:cs="Arial"/>
        </w:rPr>
        <w:t>P</w:t>
      </w:r>
      <w:r w:rsidRPr="00A7520D">
        <w:rPr>
          <w:rFonts w:ascii="Arial" w:hAnsi="Arial" w:cs="Arial"/>
          <w:vertAlign w:val="subscript"/>
        </w:rPr>
        <w:t>DEA</w:t>
      </w:r>
      <w:r w:rsidRPr="00F7314C">
        <w:rPr>
          <w:rFonts w:ascii="Arial" w:hAnsi="Arial" w:cs="Arial"/>
          <w:i/>
        </w:rPr>
        <w:t xml:space="preserve"> </w:t>
      </w:r>
      <w:r w:rsidRPr="00F7314C">
        <w:rPr>
          <w:rFonts w:ascii="Arial" w:hAnsi="Arial" w:cs="Arial"/>
        </w:rPr>
        <w:t xml:space="preserve">de los costos administrativos y operativos comparables, fue necesario </w:t>
      </w:r>
      <w:r w:rsidRPr="00F7314C">
        <w:rPr>
          <w:rFonts w:ascii="Arial" w:hAnsi="Arial" w:cs="Arial"/>
          <w:lang w:val="es-CO" w:eastAsia="zh-CN"/>
        </w:rPr>
        <w:t>que las</w:t>
      </w:r>
      <w:r w:rsidRPr="00F7314C">
        <w:rPr>
          <w:rFonts w:ascii="Arial" w:hAnsi="Arial" w:cs="Arial"/>
          <w:lang w:val="es-MX" w:eastAsia="zh-CN"/>
        </w:rPr>
        <w:t xml:space="preserve"> personas prestadoras completaran la totalidad de los mismos. </w:t>
      </w:r>
      <w:r w:rsidRPr="00F7314C">
        <w:rPr>
          <w:rFonts w:ascii="Arial" w:hAnsi="Arial" w:cs="Arial"/>
          <w:lang w:val="es-CO"/>
        </w:rPr>
        <w:t xml:space="preserve">Por lo anterior, se consideró pertinente </w:t>
      </w:r>
      <w:r w:rsidRPr="00F7314C">
        <w:rPr>
          <w:rFonts w:ascii="Arial" w:hAnsi="Arial" w:cs="Arial"/>
          <w:lang w:val="es-MX" w:eastAsia="zh-CN"/>
        </w:rPr>
        <w:t xml:space="preserve">ampliar el plazo establecido en el </w:t>
      </w:r>
      <w:r w:rsidRPr="00F7314C">
        <w:rPr>
          <w:rFonts w:ascii="Arial" w:hAnsi="Arial" w:cs="Arial"/>
          <w:lang w:val="es-CO" w:eastAsia="zh-CN"/>
        </w:rPr>
        <w:t xml:space="preserve">numeral 7 del Anexo II </w:t>
      </w:r>
      <w:r>
        <w:rPr>
          <w:rFonts w:ascii="Arial" w:hAnsi="Arial" w:cs="Arial"/>
          <w:lang w:val="es-CO" w:eastAsia="zh-CN"/>
        </w:rPr>
        <w:t>ibídem,</w:t>
      </w:r>
      <w:r w:rsidRPr="00F7314C">
        <w:rPr>
          <w:rFonts w:ascii="Arial" w:hAnsi="Arial" w:cs="Arial"/>
          <w:lang w:val="es-CO" w:eastAsia="zh-CN"/>
        </w:rPr>
        <w:t xml:space="preserve"> hasta el 1 de noviembre del año 2016, </w:t>
      </w:r>
      <w:r w:rsidRPr="00F7314C">
        <w:rPr>
          <w:rFonts w:ascii="Arial" w:hAnsi="Arial" w:cs="Arial"/>
          <w:lang w:val="es-MX" w:eastAsia="zh-CN"/>
        </w:rPr>
        <w:t xml:space="preserve">para que las personas prestadoras revisaran y realizaran </w:t>
      </w:r>
      <w:r w:rsidRPr="00F7314C">
        <w:rPr>
          <w:rFonts w:ascii="Arial" w:hAnsi="Arial" w:cs="Arial"/>
          <w:lang w:val="es-CO" w:eastAsia="zh-CN"/>
        </w:rPr>
        <w:t xml:space="preserve">los ajustes a que hubiera lugar de </w:t>
      </w:r>
      <w:r w:rsidRPr="00F7314C">
        <w:rPr>
          <w:rFonts w:ascii="Arial" w:hAnsi="Arial" w:cs="Arial"/>
          <w:lang w:val="es-MX" w:eastAsia="zh-CN"/>
        </w:rPr>
        <w:t>la información cargada al SUI</w:t>
      </w:r>
      <w:r w:rsidRPr="00F7314C">
        <w:rPr>
          <w:rFonts w:ascii="Arial" w:hAnsi="Arial" w:cs="Arial"/>
          <w:lang w:val="es-CO" w:eastAsia="zh-CN"/>
        </w:rPr>
        <w:t>.</w:t>
      </w:r>
    </w:p>
    <w:p w14:paraId="1DDB4224" w14:textId="77777777" w:rsidR="007079EE" w:rsidRPr="00F7314C" w:rsidRDefault="007079EE" w:rsidP="007079EE">
      <w:pPr>
        <w:spacing w:after="0" w:line="240" w:lineRule="auto"/>
        <w:jc w:val="both"/>
        <w:rPr>
          <w:rFonts w:ascii="Arial" w:hAnsi="Arial" w:cs="Arial"/>
          <w:sz w:val="20"/>
          <w:szCs w:val="20"/>
          <w:lang w:val="es-CO" w:eastAsia="zh-CN"/>
        </w:rPr>
      </w:pPr>
    </w:p>
    <w:p w14:paraId="7F85140D" w14:textId="77777777" w:rsidR="007079EE" w:rsidRPr="00F7314C" w:rsidRDefault="007079EE" w:rsidP="007079EE">
      <w:pPr>
        <w:spacing w:after="0" w:line="240" w:lineRule="auto"/>
        <w:jc w:val="both"/>
        <w:rPr>
          <w:rFonts w:ascii="Arial" w:hAnsi="Arial" w:cs="Arial"/>
          <w:iCs/>
          <w:sz w:val="20"/>
          <w:szCs w:val="20"/>
          <w:lang w:val="es-ES_tradnl"/>
        </w:rPr>
      </w:pPr>
      <w:r w:rsidRPr="00F7314C">
        <w:rPr>
          <w:rFonts w:ascii="Arial" w:hAnsi="Arial" w:cs="Arial"/>
          <w:sz w:val="20"/>
          <w:szCs w:val="20"/>
        </w:rPr>
        <w:t xml:space="preserve">De acuerdo con lo anterior, en sesión de Comisión Ordinaria No. 224 de 15 de junio de 2016, se aprobó la expedición de la </w:t>
      </w:r>
      <w:r w:rsidRPr="00F7314C">
        <w:rPr>
          <w:rFonts w:ascii="Arial" w:hAnsi="Arial" w:cs="Arial"/>
          <w:iCs/>
          <w:sz w:val="20"/>
          <w:szCs w:val="20"/>
        </w:rPr>
        <w:t xml:space="preserve">Resolución CRA 760 de 2016 </w:t>
      </w:r>
      <w:r w:rsidRPr="00F7314C">
        <w:rPr>
          <w:rFonts w:ascii="Arial" w:hAnsi="Arial" w:cs="Arial"/>
          <w:i/>
          <w:iCs/>
          <w:sz w:val="20"/>
          <w:szCs w:val="20"/>
        </w:rPr>
        <w:t>“Por la cual se hace público el proyecto de Resolución ‘</w:t>
      </w:r>
      <w:r w:rsidRPr="00F7314C">
        <w:rPr>
          <w:rFonts w:ascii="Arial" w:hAnsi="Arial" w:cs="Arial"/>
          <w:bCs/>
          <w:i/>
          <w:iCs/>
          <w:snapToGrid w:val="0"/>
          <w:sz w:val="20"/>
          <w:szCs w:val="20"/>
          <w:lang w:val="es-CO"/>
        </w:rPr>
        <w:t xml:space="preserve">Por la cual </w:t>
      </w:r>
      <w:r w:rsidRPr="00F7314C">
        <w:rPr>
          <w:rFonts w:ascii="Arial" w:hAnsi="Arial" w:cs="Arial"/>
          <w:bCs/>
          <w:i/>
          <w:iCs/>
          <w:snapToGrid w:val="0"/>
          <w:sz w:val="20"/>
          <w:szCs w:val="20"/>
        </w:rPr>
        <w:t>se modifica el Anexo II de la Resolución CRA 688 de 2014, modificado y adicionado por el artículo 47 de la Resolución CRA 735 de 2015’”</w:t>
      </w:r>
      <w:r w:rsidRPr="00F7314C">
        <w:rPr>
          <w:rFonts w:ascii="Arial" w:hAnsi="Arial" w:cs="Arial"/>
          <w:iCs/>
          <w:sz w:val="20"/>
          <w:szCs w:val="20"/>
          <w:lang w:val="es-ES_tradnl"/>
        </w:rPr>
        <w:t>, publicada en el Diario Oficial N° 49.917 de 27 de junio de 2016. Dicho proyecto de resolución incluía como anexo los resultados del análisis efectuado por la CRA respecto de cada uno de los parámetros de inclusión en el año 2014 y cada una de las variables (administrativas y operativas comparables) del modelo de eficiencia comparativa cargadas en el Sistema Único de Información – SUI de la SSPD al corte del 19 de febrero de 2016, por parte de las personas prestadoras pertenecientes al primer segmento, en la serie de tiempo 2010 – 2014.</w:t>
      </w:r>
    </w:p>
    <w:p w14:paraId="2F5F20AC" w14:textId="77777777" w:rsidR="007079EE" w:rsidRPr="00F7314C" w:rsidRDefault="007079EE" w:rsidP="007079EE">
      <w:pPr>
        <w:spacing w:after="0" w:line="240" w:lineRule="auto"/>
        <w:jc w:val="both"/>
        <w:rPr>
          <w:rFonts w:ascii="Arial" w:hAnsi="Arial" w:cs="Arial"/>
          <w:iCs/>
          <w:sz w:val="20"/>
          <w:szCs w:val="20"/>
          <w:lang w:val="es-ES_tradnl"/>
        </w:rPr>
      </w:pPr>
    </w:p>
    <w:p w14:paraId="6F753A54" w14:textId="77777777" w:rsidR="007079EE" w:rsidRPr="00F7314C" w:rsidRDefault="007079EE" w:rsidP="007079EE">
      <w:pPr>
        <w:autoSpaceDE w:val="0"/>
        <w:autoSpaceDN w:val="0"/>
        <w:adjustRightInd w:val="0"/>
        <w:spacing w:after="0" w:line="240" w:lineRule="auto"/>
        <w:jc w:val="both"/>
        <w:rPr>
          <w:rFonts w:ascii="Arial" w:hAnsi="Arial" w:cs="Arial"/>
          <w:sz w:val="20"/>
          <w:szCs w:val="20"/>
          <w:lang w:val="es-CO" w:eastAsia="es-CO"/>
        </w:rPr>
      </w:pPr>
      <w:r w:rsidRPr="00F7314C">
        <w:rPr>
          <w:rFonts w:ascii="Arial" w:hAnsi="Arial" w:cs="Arial"/>
          <w:iCs/>
          <w:sz w:val="20"/>
          <w:szCs w:val="20"/>
          <w:lang w:val="es-ES_tradnl" w:eastAsia="es-CO"/>
        </w:rPr>
        <w:t>Durante el término de participación ciudadana de la Resolución CRA 760 de 2016 se recibieron 27 observaciones, reparos y sugerencias escritas, las cuales en su totalidad s</w:t>
      </w:r>
      <w:r w:rsidRPr="00F7314C">
        <w:rPr>
          <w:rFonts w:ascii="Arial" w:hAnsi="Arial" w:cs="Arial"/>
          <w:sz w:val="20"/>
          <w:szCs w:val="20"/>
          <w:lang w:val="es-ES_tradnl" w:eastAsia="es-CO"/>
        </w:rPr>
        <w:t>e</w:t>
      </w:r>
      <w:r w:rsidRPr="00F7314C">
        <w:rPr>
          <w:rFonts w:ascii="Arial" w:hAnsi="Arial" w:cs="Arial"/>
          <w:iCs/>
          <w:sz w:val="20"/>
          <w:szCs w:val="20"/>
          <w:lang w:val="es-ES_tradnl" w:eastAsia="es-CO"/>
        </w:rPr>
        <w:t xml:space="preserve"> clasificaron en ejes temáticos, se consideraron</w:t>
      </w:r>
      <w:r>
        <w:rPr>
          <w:rFonts w:ascii="Arial" w:hAnsi="Arial" w:cs="Arial"/>
          <w:iCs/>
          <w:sz w:val="20"/>
          <w:szCs w:val="20"/>
          <w:lang w:val="es-ES_tradnl" w:eastAsia="es-CO"/>
        </w:rPr>
        <w:t xml:space="preserve"> y</w:t>
      </w:r>
      <w:r w:rsidRPr="00F7314C">
        <w:rPr>
          <w:rFonts w:ascii="Arial" w:hAnsi="Arial" w:cs="Arial"/>
          <w:iCs/>
          <w:sz w:val="20"/>
          <w:szCs w:val="20"/>
          <w:lang w:val="es-ES_tradnl" w:eastAsia="es-CO"/>
        </w:rPr>
        <w:t xml:space="preserve"> se analizaron por parte de la Comisión de Regulación</w:t>
      </w:r>
      <w:r>
        <w:rPr>
          <w:rFonts w:ascii="Arial" w:hAnsi="Arial" w:cs="Arial"/>
          <w:iCs/>
          <w:sz w:val="20"/>
          <w:szCs w:val="20"/>
          <w:lang w:val="es-ES_tradnl" w:eastAsia="es-CO"/>
        </w:rPr>
        <w:t xml:space="preserve"> de Agua Potable y Saneamiento Básico - CRA</w:t>
      </w:r>
      <w:r w:rsidRPr="00F7314C">
        <w:rPr>
          <w:rFonts w:ascii="Arial" w:hAnsi="Arial" w:cs="Arial"/>
          <w:iCs/>
          <w:sz w:val="20"/>
          <w:szCs w:val="20"/>
          <w:lang w:val="es-ES_tradnl" w:eastAsia="es-CO"/>
        </w:rPr>
        <w:t>.</w:t>
      </w:r>
    </w:p>
    <w:p w14:paraId="7F4B8C2B" w14:textId="77777777" w:rsidR="007079EE" w:rsidRDefault="007079EE" w:rsidP="007079EE">
      <w:pPr>
        <w:spacing w:after="0" w:line="240" w:lineRule="auto"/>
        <w:jc w:val="both"/>
        <w:rPr>
          <w:rFonts w:ascii="Arial" w:hAnsi="Arial" w:cs="Arial"/>
          <w:sz w:val="20"/>
          <w:szCs w:val="20"/>
        </w:rPr>
      </w:pPr>
    </w:p>
    <w:p w14:paraId="104D3DF1" w14:textId="77777777" w:rsidR="007079EE" w:rsidRPr="00F7314C" w:rsidRDefault="007079EE" w:rsidP="007079EE">
      <w:pPr>
        <w:spacing w:after="0" w:line="240" w:lineRule="auto"/>
        <w:jc w:val="both"/>
        <w:rPr>
          <w:rFonts w:ascii="Arial" w:hAnsi="Arial" w:cs="Arial"/>
          <w:sz w:val="20"/>
          <w:szCs w:val="20"/>
        </w:rPr>
      </w:pPr>
      <w:r w:rsidRPr="00F7314C">
        <w:rPr>
          <w:rFonts w:ascii="Arial" w:hAnsi="Arial" w:cs="Arial"/>
          <w:sz w:val="20"/>
          <w:szCs w:val="20"/>
        </w:rPr>
        <w:t xml:space="preserve">Es importante mencionar que </w:t>
      </w:r>
      <w:r>
        <w:rPr>
          <w:rFonts w:ascii="Arial" w:hAnsi="Arial" w:cs="Arial"/>
          <w:sz w:val="20"/>
          <w:szCs w:val="20"/>
        </w:rPr>
        <w:t>se realizaron</w:t>
      </w:r>
      <w:r w:rsidRPr="00F7314C">
        <w:rPr>
          <w:rFonts w:ascii="Arial" w:hAnsi="Arial" w:cs="Arial"/>
          <w:sz w:val="20"/>
          <w:szCs w:val="20"/>
        </w:rPr>
        <w:t xml:space="preserve"> las diferentes reuniones que se llevaron a cabo con los prestadores, durante los meses de abril a julio de 2016,</w:t>
      </w:r>
      <w:r>
        <w:rPr>
          <w:rFonts w:ascii="Arial" w:hAnsi="Arial" w:cs="Arial"/>
          <w:sz w:val="20"/>
          <w:szCs w:val="20"/>
        </w:rPr>
        <w:t xml:space="preserve"> en donde</w:t>
      </w:r>
      <w:r w:rsidRPr="00F7314C">
        <w:rPr>
          <w:rFonts w:ascii="Arial" w:hAnsi="Arial" w:cs="Arial"/>
          <w:sz w:val="20"/>
          <w:szCs w:val="20"/>
        </w:rPr>
        <w:t xml:space="preserve"> se le</w:t>
      </w:r>
      <w:r>
        <w:rPr>
          <w:rFonts w:ascii="Arial" w:hAnsi="Arial" w:cs="Arial"/>
          <w:sz w:val="20"/>
          <w:szCs w:val="20"/>
        </w:rPr>
        <w:t>s</w:t>
      </w:r>
      <w:r w:rsidRPr="00F7314C">
        <w:rPr>
          <w:rFonts w:ascii="Arial" w:hAnsi="Arial" w:cs="Arial"/>
          <w:sz w:val="20"/>
          <w:szCs w:val="20"/>
        </w:rPr>
        <w:t xml:space="preserve"> informó cuales eran las fuentes de información de cada una de las variables necesarias para el cálculo del puntaje DEA. </w:t>
      </w:r>
    </w:p>
    <w:p w14:paraId="7E4E04D0" w14:textId="77777777" w:rsidR="007079EE" w:rsidRPr="00F7314C" w:rsidRDefault="007079EE" w:rsidP="007079EE">
      <w:pPr>
        <w:autoSpaceDE w:val="0"/>
        <w:autoSpaceDN w:val="0"/>
        <w:adjustRightInd w:val="0"/>
        <w:spacing w:after="0" w:line="240" w:lineRule="auto"/>
        <w:jc w:val="both"/>
        <w:rPr>
          <w:rFonts w:ascii="Arial" w:hAnsi="Arial" w:cs="Arial"/>
          <w:sz w:val="20"/>
          <w:szCs w:val="20"/>
          <w:lang w:eastAsia="es-CO"/>
        </w:rPr>
      </w:pPr>
    </w:p>
    <w:p w14:paraId="121B9D98"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sz w:val="20"/>
          <w:szCs w:val="20"/>
          <w:lang w:eastAsia="es-CO"/>
        </w:rPr>
        <w:t xml:space="preserve">Así las cosas, en sesión de Comisión Ordinaria No. 226 de 15 de septiembre de 2016, se aprobó la expedición de la </w:t>
      </w:r>
      <w:r w:rsidRPr="00F7314C">
        <w:rPr>
          <w:rFonts w:ascii="Arial" w:hAnsi="Arial" w:cs="Arial"/>
          <w:iCs/>
          <w:sz w:val="20"/>
          <w:szCs w:val="20"/>
          <w:lang w:eastAsia="es-CO"/>
        </w:rPr>
        <w:t>Resolución CRA 770 de 2016,</w:t>
      </w:r>
      <w:r w:rsidRPr="00F7314C">
        <w:rPr>
          <w:rFonts w:ascii="Arial" w:hAnsi="Arial" w:cs="Arial"/>
          <w:b/>
          <w:bCs/>
          <w:i/>
          <w:iCs/>
          <w:sz w:val="20"/>
          <w:szCs w:val="20"/>
          <w:lang w:val="es-CO" w:eastAsia="es-CO"/>
        </w:rPr>
        <w:t xml:space="preserve"> </w:t>
      </w:r>
      <w:r w:rsidRPr="00F7314C">
        <w:rPr>
          <w:rFonts w:ascii="Arial" w:hAnsi="Arial" w:cs="Arial"/>
          <w:bCs/>
          <w:i/>
          <w:iCs/>
          <w:sz w:val="20"/>
          <w:szCs w:val="20"/>
          <w:lang w:val="es-CO" w:eastAsia="es-CO"/>
        </w:rPr>
        <w:t xml:space="preserve">“Por la cual </w:t>
      </w:r>
      <w:r w:rsidRPr="00F7314C">
        <w:rPr>
          <w:rFonts w:ascii="Arial" w:hAnsi="Arial" w:cs="Arial"/>
          <w:bCs/>
          <w:i/>
          <w:iCs/>
          <w:sz w:val="20"/>
          <w:szCs w:val="20"/>
          <w:lang w:eastAsia="es-CO"/>
        </w:rPr>
        <w:t xml:space="preserve">se modifica el Anexo II de la Resolución CRA 688 de 2014, </w:t>
      </w:r>
      <w:r w:rsidRPr="00F7314C">
        <w:rPr>
          <w:rFonts w:ascii="Arial" w:hAnsi="Arial" w:cs="Arial"/>
          <w:bCs/>
          <w:i/>
          <w:iCs/>
          <w:sz w:val="20"/>
          <w:szCs w:val="20"/>
          <w:lang w:eastAsia="es-CO"/>
        </w:rPr>
        <w:lastRenderedPageBreak/>
        <w:t xml:space="preserve">modificado y adicionado por el artículo 47 de la Resolución CRA 735 de 2015”, </w:t>
      </w:r>
      <w:r w:rsidRPr="00F7314C">
        <w:rPr>
          <w:rFonts w:ascii="Arial" w:hAnsi="Arial" w:cs="Arial"/>
          <w:bCs/>
          <w:iCs/>
          <w:sz w:val="20"/>
          <w:szCs w:val="20"/>
          <w:lang w:eastAsia="es-CO"/>
        </w:rPr>
        <w:t>publicada en el Diario Oficial N° 50.011 de 29 de septiembre de 2016</w:t>
      </w:r>
      <w:r w:rsidRPr="00F7314C">
        <w:rPr>
          <w:rFonts w:ascii="Arial" w:hAnsi="Arial" w:cs="Arial"/>
          <w:bCs/>
          <w:i/>
          <w:iCs/>
          <w:sz w:val="20"/>
          <w:szCs w:val="20"/>
          <w:lang w:eastAsia="es-CO"/>
        </w:rPr>
        <w:t xml:space="preserve">, </w:t>
      </w:r>
      <w:r w:rsidRPr="00F7314C">
        <w:rPr>
          <w:rFonts w:ascii="Arial" w:hAnsi="Arial" w:cs="Arial"/>
          <w:bCs/>
          <w:iCs/>
          <w:sz w:val="20"/>
          <w:szCs w:val="20"/>
          <w:lang w:eastAsia="es-CO"/>
        </w:rPr>
        <w:t xml:space="preserve">definiendo el </w:t>
      </w:r>
      <w:r w:rsidRPr="00F7314C">
        <w:rPr>
          <w:rFonts w:ascii="Arial" w:hAnsi="Arial" w:cs="Arial"/>
          <w:bCs/>
          <w:iCs/>
          <w:sz w:val="20"/>
          <w:szCs w:val="20"/>
          <w:lang w:val="es-MX" w:eastAsia="es-CO"/>
        </w:rPr>
        <w:t xml:space="preserve">primero (1°) </w:t>
      </w:r>
      <w:r w:rsidRPr="00F7314C">
        <w:rPr>
          <w:rFonts w:ascii="Arial" w:hAnsi="Arial" w:cs="Arial"/>
          <w:bCs/>
          <w:iCs/>
          <w:sz w:val="20"/>
          <w:szCs w:val="20"/>
          <w:lang w:eastAsia="es-CO"/>
        </w:rPr>
        <w:t xml:space="preserve">de noviembre del año 2016, como plazo para que las personas prestadoras </w:t>
      </w:r>
      <w:r w:rsidRPr="00F7314C">
        <w:rPr>
          <w:rFonts w:ascii="Arial" w:hAnsi="Arial" w:cs="Arial"/>
          <w:bCs/>
          <w:iCs/>
          <w:sz w:val="20"/>
          <w:szCs w:val="20"/>
          <w:lang w:val="es-CO" w:eastAsia="es-CO"/>
        </w:rPr>
        <w:t>con APS del primer segmento y/o con APS en las que optaron por aplicar la metodología correspondiente al primer segmento,</w:t>
      </w:r>
      <w:r w:rsidRPr="00F7314C">
        <w:rPr>
          <w:rFonts w:ascii="Arial" w:hAnsi="Arial" w:cs="Arial"/>
          <w:bCs/>
          <w:iCs/>
          <w:sz w:val="20"/>
          <w:szCs w:val="20"/>
          <w:lang w:eastAsia="es-CO"/>
        </w:rPr>
        <w:t xml:space="preserve"> revisaran y realizaran los ajustes a que hubiere lugar de la información cargada al SUI para el cálculo del</w:t>
      </w:r>
      <w:r w:rsidRPr="00F7314C">
        <w:rPr>
          <w:rFonts w:ascii="Arial" w:hAnsi="Arial" w:cs="Arial"/>
          <w:bCs/>
          <w:iCs/>
          <w:sz w:val="20"/>
          <w:szCs w:val="20"/>
          <w:lang w:val="es-CO" w:eastAsia="es-CO"/>
        </w:rPr>
        <w:t xml:space="preserve"> P</w:t>
      </w:r>
      <w:r w:rsidRPr="00F7314C">
        <w:rPr>
          <w:rFonts w:ascii="Arial" w:hAnsi="Arial" w:cs="Arial"/>
          <w:bCs/>
          <w:iCs/>
          <w:sz w:val="20"/>
          <w:szCs w:val="20"/>
          <w:vertAlign w:val="subscript"/>
          <w:lang w:val="es-CO" w:eastAsia="es-CO"/>
        </w:rPr>
        <w:t>DEA</w:t>
      </w:r>
      <w:r w:rsidRPr="00F7314C">
        <w:rPr>
          <w:rFonts w:ascii="Arial" w:hAnsi="Arial" w:cs="Arial"/>
          <w:bCs/>
          <w:iCs/>
          <w:sz w:val="20"/>
          <w:szCs w:val="20"/>
          <w:lang w:eastAsia="es-CO"/>
        </w:rPr>
        <w:t>.</w:t>
      </w:r>
    </w:p>
    <w:p w14:paraId="487997C6" w14:textId="77777777" w:rsidR="007079EE" w:rsidRPr="00F7314C" w:rsidRDefault="007079EE" w:rsidP="007079EE">
      <w:pPr>
        <w:autoSpaceDE w:val="0"/>
        <w:autoSpaceDN w:val="0"/>
        <w:adjustRightInd w:val="0"/>
        <w:spacing w:after="0" w:line="240" w:lineRule="auto"/>
        <w:jc w:val="both"/>
        <w:rPr>
          <w:rFonts w:ascii="Arial" w:hAnsi="Arial" w:cs="Arial"/>
          <w:bCs/>
          <w:i/>
          <w:iCs/>
          <w:sz w:val="20"/>
          <w:szCs w:val="20"/>
          <w:lang w:val="es-CO" w:eastAsia="es-CO"/>
        </w:rPr>
      </w:pPr>
    </w:p>
    <w:p w14:paraId="7BC072AC"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val="es-MX" w:eastAsia="es-CO"/>
        </w:rPr>
      </w:pPr>
      <w:r w:rsidRPr="00F7314C">
        <w:rPr>
          <w:rFonts w:ascii="Arial" w:hAnsi="Arial" w:cs="Arial"/>
          <w:bCs/>
          <w:iCs/>
          <w:sz w:val="20"/>
          <w:szCs w:val="20"/>
          <w:lang w:val="es-MX" w:eastAsia="es-CO"/>
        </w:rPr>
        <w:t xml:space="preserve">Una vez, vencido el plazo anterior, la Superintendencia de Servicios Públicos Domiciliarios </w:t>
      </w:r>
      <w:r>
        <w:rPr>
          <w:rFonts w:ascii="Arial" w:hAnsi="Arial" w:cs="Arial"/>
          <w:bCs/>
          <w:iCs/>
          <w:sz w:val="20"/>
          <w:szCs w:val="20"/>
          <w:lang w:val="es-MX" w:eastAsia="es-CO"/>
        </w:rPr>
        <w:t>-</w:t>
      </w:r>
      <w:r w:rsidRPr="00F7314C">
        <w:rPr>
          <w:rFonts w:ascii="Arial" w:hAnsi="Arial" w:cs="Arial"/>
          <w:bCs/>
          <w:iCs/>
          <w:sz w:val="20"/>
          <w:szCs w:val="20"/>
          <w:lang w:val="es-MX" w:eastAsia="es-CO"/>
        </w:rPr>
        <w:t xml:space="preserve"> SSPD remitió la información cargada por los prestadores al Sistema Único de Información – SUI, la cual fue recibida mediante el radicado CRA 2016-321-008595-2 de 9 de noviembre de 2016, una vez concluidos los trámites de reversión solicitados por las personas prestadoras.</w:t>
      </w:r>
    </w:p>
    <w:p w14:paraId="20FC3855" w14:textId="77777777" w:rsidR="007079EE" w:rsidRPr="00F7314C" w:rsidRDefault="007079EE" w:rsidP="007079EE">
      <w:pPr>
        <w:autoSpaceDE w:val="0"/>
        <w:autoSpaceDN w:val="0"/>
        <w:adjustRightInd w:val="0"/>
        <w:spacing w:after="0" w:line="240" w:lineRule="auto"/>
        <w:jc w:val="both"/>
        <w:rPr>
          <w:rFonts w:ascii="Arial" w:hAnsi="Arial" w:cs="Arial"/>
          <w:bCs/>
          <w:i/>
          <w:iCs/>
          <w:sz w:val="20"/>
          <w:szCs w:val="20"/>
          <w:lang w:val="es-MX" w:eastAsia="es-CO"/>
        </w:rPr>
      </w:pPr>
    </w:p>
    <w:p w14:paraId="0709D47F"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val="es-MX" w:eastAsia="es-CO"/>
        </w:rPr>
        <w:t xml:space="preserve">Posteriormente, </w:t>
      </w:r>
      <w:r w:rsidRPr="00F7314C">
        <w:rPr>
          <w:rFonts w:ascii="Arial" w:hAnsi="Arial" w:cs="Arial"/>
          <w:bCs/>
          <w:iCs/>
          <w:sz w:val="20"/>
          <w:szCs w:val="20"/>
          <w:lang w:eastAsia="es-CO"/>
        </w:rPr>
        <w:t xml:space="preserve">en sesión de Comisión Extraordinaria No. 9 de 21 de diciembre de 2016, </w:t>
      </w:r>
      <w:r w:rsidRPr="00F7314C">
        <w:rPr>
          <w:rFonts w:ascii="Arial" w:hAnsi="Arial" w:cs="Arial"/>
          <w:bCs/>
          <w:iCs/>
          <w:sz w:val="20"/>
          <w:szCs w:val="20"/>
          <w:lang w:val="es-MX" w:eastAsia="es-CO"/>
        </w:rPr>
        <w:t xml:space="preserve">se expidió la Resolución CRA 782 de 2016 </w:t>
      </w:r>
      <w:r w:rsidRPr="00F7314C">
        <w:rPr>
          <w:rFonts w:ascii="Arial" w:hAnsi="Arial" w:cs="Arial"/>
          <w:bCs/>
          <w:i/>
          <w:iCs/>
          <w:sz w:val="20"/>
          <w:szCs w:val="20"/>
          <w:lang w:eastAsia="es-CO"/>
        </w:rPr>
        <w:t xml:space="preserve">“Por la cual se publica la información de los parámetros de inclusión en el modelo de eficiencia comparativa DEA y los valores de las variables administrativas y operativas para la construcción del modelo de eficiencia comparativa DEA, calculadas a partir de la información disponible en el SUI al primero de noviembre de 2016, de las personas prestadoras de los servicios públicos domiciliarios de acueducto y alcantarillado relacionadas en el numeral 8 del Anexo II de la Resolución CRA 688 de 2014, modificado y adicionado por el artículo 47 de la Resolución CRA 735 de 2015 y la Resolución CRA 770 de 2016”, </w:t>
      </w:r>
      <w:r w:rsidRPr="00F7314C">
        <w:rPr>
          <w:rFonts w:ascii="Arial" w:hAnsi="Arial" w:cs="Arial"/>
          <w:bCs/>
          <w:iCs/>
          <w:sz w:val="20"/>
          <w:szCs w:val="20"/>
          <w:lang w:eastAsia="es-CO"/>
        </w:rPr>
        <w:t>publicada en el Diario Oficial N° 50.095 de 2</w:t>
      </w:r>
      <w:r>
        <w:rPr>
          <w:rFonts w:ascii="Arial" w:hAnsi="Arial" w:cs="Arial"/>
          <w:bCs/>
          <w:iCs/>
          <w:sz w:val="20"/>
          <w:szCs w:val="20"/>
          <w:lang w:eastAsia="es-CO"/>
        </w:rPr>
        <w:t>2</w:t>
      </w:r>
      <w:r w:rsidRPr="00F7314C">
        <w:rPr>
          <w:rFonts w:ascii="Arial" w:hAnsi="Arial" w:cs="Arial"/>
          <w:bCs/>
          <w:iCs/>
          <w:sz w:val="20"/>
          <w:szCs w:val="20"/>
          <w:lang w:eastAsia="es-CO"/>
        </w:rPr>
        <w:t xml:space="preserve"> de </w:t>
      </w:r>
      <w:r>
        <w:rPr>
          <w:rFonts w:ascii="Arial" w:hAnsi="Arial" w:cs="Arial"/>
          <w:bCs/>
          <w:iCs/>
          <w:sz w:val="20"/>
          <w:szCs w:val="20"/>
          <w:lang w:eastAsia="es-CO"/>
        </w:rPr>
        <w:t>diciembre</w:t>
      </w:r>
      <w:r w:rsidRPr="00F7314C">
        <w:rPr>
          <w:rFonts w:ascii="Arial" w:hAnsi="Arial" w:cs="Arial"/>
          <w:bCs/>
          <w:iCs/>
          <w:sz w:val="20"/>
          <w:szCs w:val="20"/>
          <w:lang w:eastAsia="es-CO"/>
        </w:rPr>
        <w:t xml:space="preserve"> de 2016.</w:t>
      </w:r>
    </w:p>
    <w:p w14:paraId="1F29C7C8"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p>
    <w:p w14:paraId="20E20D9D"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eastAsia="es-CO"/>
        </w:rPr>
        <w:t xml:space="preserve">Una vez finalizado el plazo otorgado mediante la Resolución CRA 782 de 2016 </w:t>
      </w:r>
      <w:r w:rsidRPr="00F7314C">
        <w:rPr>
          <w:rFonts w:ascii="Arial" w:hAnsi="Arial" w:cs="Arial"/>
          <w:bCs/>
          <w:iCs/>
          <w:sz w:val="20"/>
          <w:szCs w:val="20"/>
          <w:lang w:val="es-MX" w:eastAsia="es-CO"/>
        </w:rPr>
        <w:t xml:space="preserve">se analizaron </w:t>
      </w:r>
      <w:r w:rsidRPr="00F7314C">
        <w:rPr>
          <w:rFonts w:ascii="Arial" w:hAnsi="Arial" w:cs="Arial"/>
          <w:bCs/>
          <w:iCs/>
          <w:sz w:val="20"/>
          <w:szCs w:val="20"/>
          <w:lang w:eastAsia="es-CO"/>
        </w:rPr>
        <w:t xml:space="preserve">las justificaciones </w:t>
      </w:r>
      <w:r w:rsidRPr="00F7314C">
        <w:rPr>
          <w:rFonts w:ascii="Arial" w:hAnsi="Arial" w:cs="Arial"/>
          <w:bCs/>
          <w:iCs/>
          <w:sz w:val="20"/>
          <w:szCs w:val="20"/>
          <w:lang w:val="es-CO" w:eastAsia="es-CO"/>
        </w:rPr>
        <w:t>enviadas</w:t>
      </w:r>
      <w:r w:rsidRPr="00F7314C">
        <w:rPr>
          <w:rFonts w:ascii="Arial" w:hAnsi="Arial" w:cs="Arial"/>
          <w:bCs/>
          <w:iCs/>
          <w:sz w:val="20"/>
          <w:szCs w:val="20"/>
          <w:lang w:eastAsia="es-CO"/>
        </w:rPr>
        <w:t xml:space="preserve"> por parte de las personas prestadoras listadas en el numeral 8 del Anexo </w:t>
      </w:r>
      <w:r w:rsidRPr="00F7314C">
        <w:rPr>
          <w:rFonts w:ascii="Arial" w:hAnsi="Arial" w:cs="Arial"/>
          <w:bCs/>
          <w:iCs/>
          <w:sz w:val="20"/>
          <w:szCs w:val="20"/>
          <w:lang w:val="es-CO" w:eastAsia="es-CO"/>
        </w:rPr>
        <w:t>II</w:t>
      </w:r>
      <w:r w:rsidRPr="00F7314C">
        <w:rPr>
          <w:rFonts w:ascii="Arial" w:hAnsi="Arial" w:cs="Arial"/>
          <w:bCs/>
          <w:iCs/>
          <w:sz w:val="20"/>
          <w:szCs w:val="20"/>
          <w:lang w:eastAsia="es-CO"/>
        </w:rPr>
        <w:t xml:space="preserve"> de la Resolución CRA 688 de 2014 y se dio cumplimiento a lo establecido en el inciso segundo del numeral 7 del Anexo II ibídem.</w:t>
      </w:r>
    </w:p>
    <w:p w14:paraId="1B30FE3A" w14:textId="77777777" w:rsidR="007079EE" w:rsidRPr="00F7314C" w:rsidRDefault="007079EE" w:rsidP="007079EE">
      <w:pPr>
        <w:autoSpaceDE w:val="0"/>
        <w:autoSpaceDN w:val="0"/>
        <w:adjustRightInd w:val="0"/>
        <w:spacing w:after="0" w:line="240" w:lineRule="auto"/>
        <w:jc w:val="both"/>
        <w:rPr>
          <w:rFonts w:ascii="Arial" w:hAnsi="Arial" w:cs="Arial"/>
          <w:bCs/>
          <w:i/>
          <w:iCs/>
          <w:sz w:val="20"/>
          <w:szCs w:val="20"/>
          <w:lang w:val="es-CO" w:eastAsia="es-CO"/>
        </w:rPr>
      </w:pPr>
    </w:p>
    <w:p w14:paraId="4195C7C5"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val="es-CO" w:eastAsia="es-CO"/>
        </w:rPr>
        <w:t>Del análisis a las justificaciones recibidas se estableció que nueve</w:t>
      </w:r>
      <w:r w:rsidRPr="00F7314C">
        <w:rPr>
          <w:rFonts w:ascii="Arial" w:hAnsi="Arial" w:cs="Arial"/>
          <w:bCs/>
          <w:iCs/>
          <w:sz w:val="20"/>
          <w:szCs w:val="20"/>
          <w:lang w:eastAsia="es-CO"/>
        </w:rPr>
        <w:t xml:space="preserve"> (9) personas prestadoras cumplían con toda la información y requisitos necesarios para aplicar la metodología DEA. A Dichos prestadores les fue enviado por la </w:t>
      </w:r>
      <w:r w:rsidRPr="00F7314C">
        <w:rPr>
          <w:rFonts w:ascii="Arial" w:hAnsi="Arial" w:cs="Arial"/>
          <w:bCs/>
          <w:iCs/>
          <w:sz w:val="20"/>
          <w:szCs w:val="20"/>
          <w:lang w:val="es-MX" w:eastAsia="es-CO"/>
        </w:rPr>
        <w:t xml:space="preserve">Superintendencia de Servicios Públicos Domiciliarios </w:t>
      </w:r>
      <w:r>
        <w:rPr>
          <w:rFonts w:ascii="Arial" w:hAnsi="Arial" w:cs="Arial"/>
          <w:bCs/>
          <w:iCs/>
          <w:sz w:val="20"/>
          <w:szCs w:val="20"/>
          <w:lang w:val="es-MX" w:eastAsia="es-CO"/>
        </w:rPr>
        <w:t>-</w:t>
      </w:r>
      <w:r w:rsidRPr="00F7314C">
        <w:rPr>
          <w:rFonts w:ascii="Arial" w:hAnsi="Arial" w:cs="Arial"/>
          <w:bCs/>
          <w:iCs/>
          <w:sz w:val="20"/>
          <w:szCs w:val="20"/>
          <w:lang w:val="es-MX" w:eastAsia="es-CO"/>
        </w:rPr>
        <w:t xml:space="preserve"> </w:t>
      </w:r>
      <w:r w:rsidRPr="00F7314C">
        <w:rPr>
          <w:rFonts w:ascii="Arial" w:hAnsi="Arial" w:cs="Arial"/>
          <w:bCs/>
          <w:iCs/>
          <w:sz w:val="20"/>
          <w:szCs w:val="20"/>
          <w:lang w:eastAsia="es-CO"/>
        </w:rPr>
        <w:t>SSPD un nuevo archivo Excel elaborado por la Unidad Administrativa Especial Comisión de Regulación de Agua Potable y Saneamiento Básico - UAE CRA, con el reporte de costos administrativos y operativos comparables para los años 2013 y 2014 para el registro de traslados y exclusiones en los costos. Dicha información ajustada en el archivo Excel, debía ser remitida mediante comunicación suscrita por el representante legal de la empresa, en un plazo de cinco (5) días hábiles contados a partir de la fecha de recibo del archivo.</w:t>
      </w:r>
    </w:p>
    <w:p w14:paraId="2A1D9C19"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p>
    <w:p w14:paraId="4CFA2227"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val="es-CO" w:eastAsia="es-CO"/>
        </w:rPr>
      </w:pPr>
      <w:r w:rsidRPr="00F7314C">
        <w:rPr>
          <w:rFonts w:ascii="Arial" w:hAnsi="Arial" w:cs="Arial"/>
          <w:bCs/>
          <w:iCs/>
          <w:sz w:val="20"/>
          <w:szCs w:val="20"/>
          <w:lang w:val="es-CO" w:eastAsia="es-CO"/>
        </w:rPr>
        <w:t>Igualmente se estableció que la información de costos relacionada en el archivo Excel radicada en la SSPD después de la fecha establecida, no sería tenida en cuenta para efectos del cálculo de los P</w:t>
      </w:r>
      <w:r w:rsidRPr="00F7314C">
        <w:rPr>
          <w:rFonts w:ascii="Arial" w:hAnsi="Arial" w:cs="Arial"/>
          <w:bCs/>
          <w:iCs/>
          <w:sz w:val="20"/>
          <w:szCs w:val="20"/>
          <w:vertAlign w:val="subscript"/>
          <w:lang w:val="es-CO" w:eastAsia="es-CO"/>
        </w:rPr>
        <w:t>DEA</w:t>
      </w:r>
      <w:r w:rsidRPr="00F7314C">
        <w:rPr>
          <w:rFonts w:ascii="Arial" w:hAnsi="Arial" w:cs="Arial"/>
          <w:bCs/>
          <w:iCs/>
          <w:sz w:val="20"/>
          <w:szCs w:val="20"/>
          <w:lang w:val="es-CO" w:eastAsia="es-CO"/>
        </w:rPr>
        <w:t>. En este caso, se tomarían para el cálculo de los P</w:t>
      </w:r>
      <w:r w:rsidRPr="00F7314C">
        <w:rPr>
          <w:rFonts w:ascii="Arial" w:hAnsi="Arial" w:cs="Arial"/>
          <w:bCs/>
          <w:iCs/>
          <w:sz w:val="20"/>
          <w:szCs w:val="20"/>
          <w:vertAlign w:val="subscript"/>
          <w:lang w:val="es-CO" w:eastAsia="es-CO"/>
        </w:rPr>
        <w:t>DEA</w:t>
      </w:r>
      <w:r w:rsidRPr="00F7314C">
        <w:rPr>
          <w:rFonts w:ascii="Arial" w:hAnsi="Arial" w:cs="Arial"/>
          <w:bCs/>
          <w:iCs/>
          <w:sz w:val="20"/>
          <w:szCs w:val="20"/>
          <w:lang w:val="es-CO" w:eastAsia="es-CO"/>
        </w:rPr>
        <w:t xml:space="preserve"> los costos reportados en el SUI, sin perjuicio de posteriores requerimientos que pudiera solicitar la SSPD para efectuar la aclaración en el marco de sus funciones de inspección, vigilancia y control.</w:t>
      </w:r>
    </w:p>
    <w:p w14:paraId="32FD1F6A"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p>
    <w:p w14:paraId="33AAF8E7" w14:textId="77777777" w:rsidR="007079EE" w:rsidRPr="00486705" w:rsidRDefault="007079EE" w:rsidP="007079EE">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eastAsia="es-CO"/>
        </w:rPr>
        <w:t xml:space="preserve">Conforme lo anterior, la Superintendencia de Servicios Públicos Domiciliarios </w:t>
      </w:r>
      <w:r>
        <w:rPr>
          <w:rFonts w:ascii="Arial" w:hAnsi="Arial" w:cs="Arial"/>
          <w:bCs/>
          <w:iCs/>
          <w:sz w:val="20"/>
          <w:szCs w:val="20"/>
          <w:lang w:eastAsia="es-CO"/>
        </w:rPr>
        <w:t>-</w:t>
      </w:r>
      <w:r w:rsidRPr="00F7314C">
        <w:rPr>
          <w:rFonts w:ascii="Arial" w:hAnsi="Arial" w:cs="Arial"/>
          <w:bCs/>
          <w:iCs/>
          <w:sz w:val="20"/>
          <w:szCs w:val="20"/>
          <w:lang w:eastAsia="es-CO"/>
        </w:rPr>
        <w:t xml:space="preserve"> SSPD remitió el 6 de febrero de 2017, un oficio a cada una de las nueve (9) personas prestadoras que cumplieron con toda la información y requisitos necesarios para aplicar la metodología DEA</w:t>
      </w:r>
      <w:r w:rsidRPr="00F7314C">
        <w:rPr>
          <w:rFonts w:ascii="Arial" w:hAnsi="Arial" w:cs="Arial"/>
          <w:bCs/>
          <w:iCs/>
          <w:sz w:val="20"/>
          <w:szCs w:val="20"/>
          <w:lang w:val="es-MX" w:eastAsia="es-CO"/>
        </w:rPr>
        <w:t xml:space="preserve">; al cual le </w:t>
      </w:r>
      <w:r w:rsidRPr="00F7314C">
        <w:rPr>
          <w:rFonts w:ascii="Arial" w:hAnsi="Arial" w:cs="Arial"/>
          <w:bCs/>
          <w:iCs/>
          <w:sz w:val="20"/>
          <w:szCs w:val="20"/>
          <w:lang w:eastAsia="es-CO"/>
        </w:rPr>
        <w:t>anexó un archivo Excel con la información reportada al Sistema Único de Información</w:t>
      </w:r>
      <w:r>
        <w:rPr>
          <w:rFonts w:ascii="Arial" w:hAnsi="Arial" w:cs="Arial"/>
          <w:bCs/>
          <w:iCs/>
          <w:sz w:val="20"/>
          <w:szCs w:val="20"/>
          <w:lang w:eastAsia="es-CO"/>
        </w:rPr>
        <w:t xml:space="preserve"> -</w:t>
      </w:r>
      <w:r w:rsidRPr="00F7314C">
        <w:rPr>
          <w:rFonts w:ascii="Arial" w:hAnsi="Arial" w:cs="Arial"/>
          <w:bCs/>
          <w:iCs/>
          <w:sz w:val="20"/>
          <w:szCs w:val="20"/>
          <w:lang w:eastAsia="es-CO"/>
        </w:rPr>
        <w:t xml:space="preserve"> SUI de los costos administrativos y operativos comparables para el cálculo de los P</w:t>
      </w:r>
      <w:r w:rsidRPr="00F7314C">
        <w:rPr>
          <w:rFonts w:ascii="Arial" w:hAnsi="Arial" w:cs="Arial"/>
          <w:bCs/>
          <w:iCs/>
          <w:sz w:val="20"/>
          <w:szCs w:val="20"/>
          <w:vertAlign w:val="subscript"/>
          <w:lang w:eastAsia="es-CO"/>
        </w:rPr>
        <w:t xml:space="preserve">DEA. </w:t>
      </w:r>
    </w:p>
    <w:p w14:paraId="411B9620" w14:textId="77777777" w:rsidR="007079EE" w:rsidRDefault="007079EE" w:rsidP="007079EE">
      <w:pPr>
        <w:autoSpaceDE w:val="0"/>
        <w:autoSpaceDN w:val="0"/>
        <w:adjustRightInd w:val="0"/>
        <w:spacing w:after="0" w:line="240" w:lineRule="auto"/>
        <w:jc w:val="both"/>
        <w:rPr>
          <w:rFonts w:ascii="Arial" w:hAnsi="Arial" w:cs="Arial"/>
          <w:bCs/>
          <w:iCs/>
          <w:sz w:val="20"/>
          <w:szCs w:val="20"/>
          <w:vertAlign w:val="subscript"/>
          <w:lang w:eastAsia="es-CO"/>
        </w:rPr>
      </w:pPr>
    </w:p>
    <w:p w14:paraId="5A5B2C28"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eastAsia="es-CO"/>
        </w:rPr>
        <w:t xml:space="preserve">Las comunicaciones fueron las siguientes: </w:t>
      </w:r>
    </w:p>
    <w:p w14:paraId="76B9CEE6"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p>
    <w:p w14:paraId="51433BA0" w14:textId="77777777" w:rsidR="007079EE" w:rsidRPr="00F7314C" w:rsidRDefault="007079EE" w:rsidP="007079EE">
      <w:pPr>
        <w:pStyle w:val="Textonotapie"/>
        <w:numPr>
          <w:ilvl w:val="0"/>
          <w:numId w:val="33"/>
        </w:numPr>
        <w:jc w:val="both"/>
        <w:rPr>
          <w:rFonts w:cs="Arial"/>
          <w:bCs/>
          <w:iCs/>
          <w:sz w:val="20"/>
          <w:lang w:eastAsia="es-CO"/>
        </w:rPr>
      </w:pPr>
      <w:r w:rsidRPr="00F7314C">
        <w:rPr>
          <w:rFonts w:cs="Arial"/>
          <w:bCs/>
          <w:iCs/>
          <w:sz w:val="20"/>
          <w:lang w:eastAsia="es-CO"/>
        </w:rPr>
        <w:t>Radicado SSPD 20174210032211 dirigido a la Empresa de Acueducto, Alcantarillado y Aseo de Bogotá E.S.P.</w:t>
      </w:r>
    </w:p>
    <w:p w14:paraId="1B533C86" w14:textId="77777777" w:rsidR="007079EE" w:rsidRPr="00F7314C" w:rsidRDefault="007079EE" w:rsidP="007079EE">
      <w:pPr>
        <w:pStyle w:val="Textonotapie"/>
        <w:numPr>
          <w:ilvl w:val="0"/>
          <w:numId w:val="33"/>
        </w:numPr>
        <w:jc w:val="both"/>
        <w:rPr>
          <w:rFonts w:cs="Arial"/>
          <w:bCs/>
          <w:iCs/>
          <w:sz w:val="20"/>
          <w:lang w:eastAsia="es-CO"/>
        </w:rPr>
      </w:pPr>
      <w:r w:rsidRPr="00F7314C">
        <w:rPr>
          <w:rFonts w:cs="Arial"/>
          <w:bCs/>
          <w:iCs/>
          <w:sz w:val="20"/>
          <w:lang w:eastAsia="es-CO"/>
        </w:rPr>
        <w:t>Radicado SSPD 20174210032071 dirigido a la Sociedad de Acueducto, Alcantarillado y Aseo de Barranquilla S.A. E.S.P.</w:t>
      </w:r>
    </w:p>
    <w:p w14:paraId="63459A86" w14:textId="77777777" w:rsidR="007079EE" w:rsidRPr="00F7314C" w:rsidRDefault="007079EE" w:rsidP="007079EE">
      <w:pPr>
        <w:pStyle w:val="Textonotapie"/>
        <w:numPr>
          <w:ilvl w:val="0"/>
          <w:numId w:val="33"/>
        </w:numPr>
        <w:jc w:val="both"/>
        <w:rPr>
          <w:rFonts w:cs="Arial"/>
          <w:bCs/>
          <w:iCs/>
          <w:sz w:val="20"/>
          <w:lang w:eastAsia="es-CO"/>
        </w:rPr>
      </w:pPr>
      <w:r w:rsidRPr="00F7314C">
        <w:rPr>
          <w:rFonts w:cs="Arial"/>
          <w:bCs/>
          <w:iCs/>
          <w:sz w:val="20"/>
          <w:lang w:eastAsia="es-CO"/>
        </w:rPr>
        <w:lastRenderedPageBreak/>
        <w:t>Radicado SSPD 20174210032401 dirigido a la Empresa de Obras Sanitarias de Pasto EMPOPASTO S.A. E.S.P.</w:t>
      </w:r>
    </w:p>
    <w:p w14:paraId="0045E937" w14:textId="77777777" w:rsidR="007079EE" w:rsidRPr="00F7314C" w:rsidRDefault="007079EE" w:rsidP="007079EE">
      <w:pPr>
        <w:pStyle w:val="Textonotapie"/>
        <w:numPr>
          <w:ilvl w:val="0"/>
          <w:numId w:val="33"/>
        </w:numPr>
        <w:jc w:val="both"/>
        <w:rPr>
          <w:rFonts w:cs="Arial"/>
          <w:bCs/>
          <w:iCs/>
          <w:sz w:val="20"/>
          <w:lang w:eastAsia="es-CO"/>
        </w:rPr>
      </w:pPr>
      <w:r w:rsidRPr="00F7314C">
        <w:rPr>
          <w:rFonts w:cs="Arial"/>
          <w:bCs/>
          <w:iCs/>
          <w:sz w:val="20"/>
          <w:lang w:eastAsia="es-CO"/>
        </w:rPr>
        <w:t>Radicado SSPD 20174210032261 dirigido a la Empresas Públicas de Medellín E.S.P.</w:t>
      </w:r>
    </w:p>
    <w:p w14:paraId="151090FD" w14:textId="77777777" w:rsidR="007079EE" w:rsidRPr="00F7314C" w:rsidRDefault="007079EE" w:rsidP="007079EE">
      <w:pPr>
        <w:pStyle w:val="Textonotapie"/>
        <w:numPr>
          <w:ilvl w:val="0"/>
          <w:numId w:val="33"/>
        </w:numPr>
        <w:jc w:val="both"/>
        <w:rPr>
          <w:rFonts w:cs="Arial"/>
          <w:bCs/>
          <w:iCs/>
          <w:sz w:val="20"/>
          <w:lang w:eastAsia="es-CO"/>
        </w:rPr>
      </w:pPr>
      <w:r w:rsidRPr="00F7314C">
        <w:rPr>
          <w:rFonts w:cs="Arial"/>
          <w:bCs/>
          <w:iCs/>
          <w:sz w:val="20"/>
          <w:lang w:eastAsia="es-CO"/>
        </w:rPr>
        <w:t>Radicado SSPD 20174210032421 dirigido a la Empresa de Acueducto y Alcantarillado de Villavicencio E.S.P.</w:t>
      </w:r>
    </w:p>
    <w:p w14:paraId="3797019E" w14:textId="77777777" w:rsidR="007079EE" w:rsidRPr="00F7314C" w:rsidRDefault="007079EE" w:rsidP="007079EE">
      <w:pPr>
        <w:pStyle w:val="Textonotapie"/>
        <w:numPr>
          <w:ilvl w:val="0"/>
          <w:numId w:val="33"/>
        </w:numPr>
        <w:jc w:val="both"/>
        <w:rPr>
          <w:rFonts w:cs="Arial"/>
          <w:bCs/>
          <w:iCs/>
          <w:sz w:val="20"/>
          <w:lang w:eastAsia="es-CO"/>
        </w:rPr>
      </w:pPr>
      <w:r w:rsidRPr="00F7314C">
        <w:rPr>
          <w:rFonts w:cs="Arial"/>
          <w:bCs/>
          <w:iCs/>
          <w:sz w:val="20"/>
          <w:lang w:eastAsia="es-CO"/>
        </w:rPr>
        <w:t>Radicado SSPD 20174210032251 dirigido a Aguas de Manizales S.A. E.S.P.</w:t>
      </w:r>
    </w:p>
    <w:p w14:paraId="3725EC16" w14:textId="77777777" w:rsidR="007079EE" w:rsidRPr="00F7314C" w:rsidRDefault="007079EE" w:rsidP="007079EE">
      <w:pPr>
        <w:pStyle w:val="Textonotapie"/>
        <w:numPr>
          <w:ilvl w:val="0"/>
          <w:numId w:val="33"/>
        </w:numPr>
        <w:jc w:val="both"/>
        <w:rPr>
          <w:rFonts w:cs="Arial"/>
          <w:bCs/>
          <w:iCs/>
          <w:sz w:val="20"/>
          <w:lang w:eastAsia="es-CO"/>
        </w:rPr>
      </w:pPr>
      <w:r w:rsidRPr="00F7314C">
        <w:rPr>
          <w:rFonts w:cs="Arial"/>
          <w:bCs/>
          <w:iCs/>
          <w:sz w:val="20"/>
          <w:lang w:eastAsia="es-CO"/>
        </w:rPr>
        <w:t>Radicado SSPD 20174210032411 dirigido a Proactiva Aguas de Tunja S.A. E.S.P.</w:t>
      </w:r>
    </w:p>
    <w:p w14:paraId="44DEE44E" w14:textId="77777777" w:rsidR="007079EE" w:rsidRPr="00F7314C" w:rsidRDefault="007079EE" w:rsidP="007079EE">
      <w:pPr>
        <w:pStyle w:val="Textonotapie"/>
        <w:numPr>
          <w:ilvl w:val="0"/>
          <w:numId w:val="33"/>
        </w:numPr>
        <w:jc w:val="both"/>
        <w:rPr>
          <w:rFonts w:cs="Arial"/>
          <w:bCs/>
          <w:iCs/>
          <w:sz w:val="20"/>
          <w:lang w:eastAsia="es-CO"/>
        </w:rPr>
      </w:pPr>
      <w:r w:rsidRPr="00F7314C">
        <w:rPr>
          <w:rFonts w:cs="Arial"/>
          <w:bCs/>
          <w:iCs/>
          <w:sz w:val="20"/>
          <w:lang w:eastAsia="es-CO"/>
        </w:rPr>
        <w:t>Radicado SSPD 20174210032391 dirigido a Empresas Publicas de Neiva E.S.P.</w:t>
      </w:r>
    </w:p>
    <w:p w14:paraId="35E955C9" w14:textId="77777777" w:rsidR="007079EE" w:rsidRPr="00F7314C" w:rsidRDefault="007079EE" w:rsidP="007079EE">
      <w:pPr>
        <w:pStyle w:val="Prrafodelista"/>
        <w:numPr>
          <w:ilvl w:val="0"/>
          <w:numId w:val="33"/>
        </w:num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eastAsia="es-CO"/>
        </w:rPr>
        <w:t>Radicado SSPD 20174210032231 dirigido a CENTROAGUAS S.A. E.S.P.</w:t>
      </w:r>
    </w:p>
    <w:p w14:paraId="538CC481"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p>
    <w:p w14:paraId="5A5B6373"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val="es-MX" w:eastAsia="es-CO"/>
        </w:rPr>
      </w:pPr>
      <w:r w:rsidRPr="00F7314C">
        <w:rPr>
          <w:rFonts w:ascii="Arial" w:hAnsi="Arial" w:cs="Arial"/>
          <w:bCs/>
          <w:iCs/>
          <w:sz w:val="20"/>
          <w:szCs w:val="20"/>
          <w:lang w:val="es-MX" w:eastAsia="es-CO"/>
        </w:rPr>
        <w:t xml:space="preserve">Con base en los traslados e inclusiones de los costos remitidos por las personas prestadoras que </w:t>
      </w:r>
      <w:r w:rsidRPr="00F7314C">
        <w:rPr>
          <w:rFonts w:ascii="Arial" w:hAnsi="Arial" w:cs="Arial"/>
          <w:bCs/>
          <w:iCs/>
          <w:sz w:val="20"/>
          <w:szCs w:val="20"/>
          <w:lang w:eastAsia="es-CO"/>
        </w:rPr>
        <w:t>cumplieron con los requisitos necesarios para aplicar la metodología DEA</w:t>
      </w:r>
      <w:r w:rsidRPr="00F7314C">
        <w:rPr>
          <w:rFonts w:ascii="Arial" w:hAnsi="Arial" w:cs="Arial"/>
          <w:bCs/>
          <w:iCs/>
          <w:sz w:val="20"/>
          <w:szCs w:val="20"/>
          <w:lang w:val="es-MX" w:eastAsia="es-CO"/>
        </w:rPr>
        <w:t xml:space="preserve"> y con la información de las variables administrativas y operativas publicadas en la Resolución CRA 782 de 2016, con datos atípicos debidamente justificados, se </w:t>
      </w:r>
      <w:r w:rsidRPr="00F7314C">
        <w:rPr>
          <w:rFonts w:ascii="Arial" w:hAnsi="Arial" w:cs="Arial"/>
          <w:bCs/>
          <w:iCs/>
          <w:sz w:val="20"/>
          <w:szCs w:val="20"/>
          <w:lang w:eastAsia="es-CO"/>
        </w:rPr>
        <w:t xml:space="preserve">aplicó la metodología DEA. </w:t>
      </w:r>
      <w:r w:rsidRPr="00872B66">
        <w:rPr>
          <w:rFonts w:ascii="Arial" w:hAnsi="Arial" w:cs="Arial"/>
          <w:bCs/>
          <w:iCs/>
          <w:sz w:val="20"/>
          <w:szCs w:val="20"/>
          <w:lang w:eastAsia="es-CO"/>
        </w:rPr>
        <w:t>La información del análisis realizado por esta Comisión de Regulación de las justificaciones remitidas se encuentra en el documento de trabajo de la metodología del puntaje DEA.</w:t>
      </w:r>
    </w:p>
    <w:p w14:paraId="7F0323C4"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val="es-MX" w:eastAsia="es-CO"/>
        </w:rPr>
      </w:pPr>
    </w:p>
    <w:p w14:paraId="3680131C" w14:textId="77777777" w:rsidR="007079EE" w:rsidRPr="00F7314C" w:rsidRDefault="007079EE" w:rsidP="007079EE">
      <w:pPr>
        <w:autoSpaceDE w:val="0"/>
        <w:autoSpaceDN w:val="0"/>
        <w:adjustRightInd w:val="0"/>
        <w:spacing w:after="0" w:line="240" w:lineRule="auto"/>
        <w:jc w:val="both"/>
        <w:rPr>
          <w:rFonts w:ascii="Arial" w:hAnsi="Arial" w:cs="Arial"/>
          <w:bCs/>
          <w:iCs/>
          <w:sz w:val="20"/>
          <w:szCs w:val="20"/>
          <w:lang w:eastAsia="es-CO"/>
        </w:rPr>
      </w:pPr>
      <w:r w:rsidRPr="00F7314C">
        <w:rPr>
          <w:rFonts w:ascii="Arial" w:hAnsi="Arial" w:cs="Arial"/>
          <w:bCs/>
          <w:iCs/>
          <w:sz w:val="20"/>
          <w:szCs w:val="20"/>
          <w:lang w:val="es-MX" w:eastAsia="es-CO"/>
        </w:rPr>
        <w:t xml:space="preserve">Con la información de las </w:t>
      </w:r>
      <w:r w:rsidRPr="00F7314C">
        <w:rPr>
          <w:rFonts w:ascii="Arial" w:hAnsi="Arial" w:cs="Arial"/>
          <w:bCs/>
          <w:iCs/>
          <w:sz w:val="20"/>
          <w:szCs w:val="20"/>
          <w:lang w:eastAsia="es-CO"/>
        </w:rPr>
        <w:t xml:space="preserve">nueve (9) personas prestadoras que cumplieron con toda la información y requisitos se aplicó la metodología DEA y </w:t>
      </w:r>
      <w:r w:rsidRPr="00F7314C">
        <w:rPr>
          <w:rFonts w:ascii="Arial" w:hAnsi="Arial" w:cs="Arial"/>
          <w:bCs/>
          <w:iCs/>
          <w:sz w:val="20"/>
          <w:szCs w:val="20"/>
          <w:lang w:val="es-MX" w:eastAsia="es-CO"/>
        </w:rPr>
        <w:t>se expidió la Resolución CRA</w:t>
      </w:r>
      <w:r w:rsidRPr="00F7314C">
        <w:rPr>
          <w:rFonts w:ascii="Arial" w:hAnsi="Arial" w:cs="Arial"/>
          <w:bCs/>
          <w:iCs/>
          <w:sz w:val="20"/>
          <w:szCs w:val="20"/>
          <w:lang w:eastAsia="es-CO"/>
        </w:rPr>
        <w:t xml:space="preserve"> 791 de 2017,</w:t>
      </w:r>
      <w:r w:rsidRPr="00F7314C">
        <w:rPr>
          <w:rFonts w:ascii="Arial" w:hAnsi="Arial" w:cs="Arial"/>
          <w:bCs/>
          <w:iCs/>
          <w:sz w:val="20"/>
          <w:szCs w:val="20"/>
          <w:lang w:val="es-MX" w:eastAsia="es-CO"/>
        </w:rPr>
        <w:t xml:space="preserve"> </w:t>
      </w:r>
      <w:r w:rsidRPr="00F7314C">
        <w:rPr>
          <w:rFonts w:ascii="Arial" w:hAnsi="Arial" w:cs="Arial"/>
          <w:bCs/>
          <w:iCs/>
          <w:sz w:val="20"/>
          <w:szCs w:val="20"/>
          <w:lang w:eastAsia="es-CO"/>
        </w:rPr>
        <w:t>por medio de la cual la Comisión de Regulación de Agua Potable y Saneamiento Básico presentó para participación ciudadana, el proyecto de Resolución</w:t>
      </w:r>
      <w:r w:rsidRPr="00F7314C">
        <w:rPr>
          <w:rFonts w:ascii="Arial" w:hAnsi="Arial" w:cs="Arial"/>
          <w:bCs/>
          <w:i/>
          <w:iCs/>
          <w:sz w:val="20"/>
          <w:szCs w:val="20"/>
          <w:lang w:eastAsia="es-CO"/>
        </w:rPr>
        <w:t xml:space="preserve"> ‘Por la cual se presentan las variables que conforman los modelos de eficiencia establecidos en la Resolución CRA 688 de 2014, para determinar los puntajes de eficiencia comparativa PDEA y se dictan otras disposiciones’, e inició el proceso de discusión directa con los usuarios y agentes del sector”</w:t>
      </w:r>
      <w:r w:rsidRPr="00F7314C">
        <w:rPr>
          <w:rFonts w:ascii="Arial" w:hAnsi="Arial" w:cs="Arial"/>
          <w:bCs/>
          <w:iCs/>
          <w:sz w:val="20"/>
          <w:szCs w:val="20"/>
          <w:lang w:eastAsia="es-CO"/>
        </w:rPr>
        <w:t>, durante el término de quince (15) días hábiles, tal como lo señaló el artículo segundo</w:t>
      </w:r>
      <w:r>
        <w:rPr>
          <w:rFonts w:ascii="Arial" w:hAnsi="Arial" w:cs="Arial"/>
          <w:bCs/>
          <w:iCs/>
          <w:sz w:val="20"/>
          <w:szCs w:val="20"/>
          <w:lang w:eastAsia="es-CO"/>
        </w:rPr>
        <w:t xml:space="preserve"> de la resolución</w:t>
      </w:r>
      <w:r w:rsidRPr="00F7314C">
        <w:rPr>
          <w:rFonts w:ascii="Arial" w:hAnsi="Arial" w:cs="Arial"/>
          <w:bCs/>
          <w:iCs/>
          <w:sz w:val="20"/>
          <w:szCs w:val="20"/>
          <w:lang w:eastAsia="es-CO"/>
        </w:rPr>
        <w:t xml:space="preserve">. La Resolución CRA 791 de 2017 fue </w:t>
      </w:r>
      <w:r w:rsidRPr="00F7314C">
        <w:rPr>
          <w:rFonts w:ascii="Arial" w:hAnsi="Arial" w:cs="Arial"/>
          <w:bCs/>
          <w:iCs/>
          <w:sz w:val="20"/>
          <w:szCs w:val="20"/>
          <w:lang w:val="es-MX" w:eastAsia="es-CO"/>
        </w:rPr>
        <w:t>aprobada en</w:t>
      </w:r>
      <w:r w:rsidRPr="00F7314C">
        <w:rPr>
          <w:rFonts w:ascii="Arial" w:hAnsi="Arial" w:cs="Arial"/>
          <w:bCs/>
          <w:iCs/>
          <w:sz w:val="20"/>
          <w:szCs w:val="20"/>
          <w:lang w:eastAsia="es-CO"/>
        </w:rPr>
        <w:t xml:space="preserve"> sesión de Comisión Ordinaria No. 230 de 21 de abril de 2017 y publicada en el Diario Oficial No. 50.216 del 26 de abril de 2017.</w:t>
      </w:r>
    </w:p>
    <w:p w14:paraId="6A69EB37" w14:textId="77777777" w:rsidR="007079EE" w:rsidRPr="00F7314C" w:rsidRDefault="007079EE" w:rsidP="007079EE">
      <w:pPr>
        <w:autoSpaceDE w:val="0"/>
        <w:autoSpaceDN w:val="0"/>
        <w:adjustRightInd w:val="0"/>
        <w:spacing w:after="0" w:line="240" w:lineRule="auto"/>
        <w:jc w:val="both"/>
        <w:rPr>
          <w:rFonts w:ascii="Arial" w:hAnsi="Arial" w:cs="Arial"/>
          <w:bCs/>
          <w:i/>
          <w:iCs/>
          <w:sz w:val="20"/>
          <w:szCs w:val="20"/>
          <w:lang w:eastAsia="es-CO"/>
        </w:rPr>
      </w:pPr>
      <w:r w:rsidRPr="00F7314C">
        <w:rPr>
          <w:rFonts w:ascii="Arial" w:hAnsi="Arial" w:cs="Arial"/>
          <w:bCs/>
          <w:i/>
          <w:iCs/>
          <w:sz w:val="20"/>
          <w:szCs w:val="20"/>
          <w:lang w:eastAsia="es-CO"/>
        </w:rPr>
        <w:t xml:space="preserve"> </w:t>
      </w:r>
    </w:p>
    <w:p w14:paraId="7C719935" w14:textId="77777777" w:rsidR="007079EE" w:rsidRDefault="007079EE" w:rsidP="007079EE">
      <w:pPr>
        <w:spacing w:after="0" w:line="240" w:lineRule="auto"/>
        <w:jc w:val="both"/>
        <w:rPr>
          <w:rFonts w:ascii="Arial" w:hAnsi="Arial" w:cs="Arial"/>
          <w:sz w:val="20"/>
          <w:szCs w:val="20"/>
          <w:lang w:val="es-CO" w:eastAsia="es-CO"/>
        </w:rPr>
      </w:pPr>
      <w:r w:rsidRPr="00F7314C">
        <w:rPr>
          <w:rFonts w:ascii="Arial" w:hAnsi="Arial" w:cs="Arial"/>
          <w:bCs/>
          <w:iCs/>
          <w:sz w:val="20"/>
          <w:szCs w:val="20"/>
          <w:lang w:eastAsia="es-CO"/>
        </w:rPr>
        <w:t>Teniendo en cuenta las solicitudes de ampliación de plazo recibidas, la Comisión de Regulación de Agua Potable y Saneamiento Básico expidió la Resolución CRA 796 de 2017, aprobada en Sesión de Comisión Extraordinaria No. 9 de 16 de mayo de 2017 y publicada en el Diario Oficial No. 50.236 del 17 de mayo de 2017, extendiendo el periodo de participación ciudadana de la Resolución CRA 791 de 2017 hasta el 4 de julio de 2017.</w:t>
      </w:r>
    </w:p>
    <w:sectPr w:rsidR="007079EE" w:rsidSect="005E44BF">
      <w:headerReference w:type="default" r:id="rId14"/>
      <w:footerReference w:type="default" r:id="rId15"/>
      <w:footnotePr>
        <w:pos w:val="beneathText"/>
      </w:footnotePr>
      <w:pgSz w:w="12240" w:h="15840"/>
      <w:pgMar w:top="1134" w:right="1134" w:bottom="1134" w:left="1134"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E898" w14:textId="77777777" w:rsidR="00122B06" w:rsidRDefault="00122B06">
      <w:pPr>
        <w:spacing w:after="0" w:line="240" w:lineRule="auto"/>
      </w:pPr>
      <w:r>
        <w:separator/>
      </w:r>
    </w:p>
  </w:endnote>
  <w:endnote w:type="continuationSeparator" w:id="0">
    <w:p w14:paraId="59ECC9C7" w14:textId="77777777" w:rsidR="00122B06" w:rsidRDefault="0012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D5F" w14:textId="08C87FAD" w:rsidR="00BB4D6F" w:rsidRDefault="00BB4D6F" w:rsidP="006822EE">
    <w:pPr>
      <w:pStyle w:val="Piedepgina"/>
      <w:jc w:val="right"/>
    </w:pPr>
    <w:r w:rsidRPr="004D038E">
      <w:rPr>
        <w:rFonts w:ascii="Arial" w:hAnsi="Arial" w:cs="Arial"/>
        <w:sz w:val="20"/>
      </w:rPr>
      <w:fldChar w:fldCharType="begin"/>
    </w:r>
    <w:r w:rsidRPr="004D038E">
      <w:rPr>
        <w:rFonts w:ascii="Arial" w:hAnsi="Arial" w:cs="Arial"/>
        <w:sz w:val="20"/>
      </w:rPr>
      <w:instrText xml:space="preserve"> PAGE </w:instrText>
    </w:r>
    <w:r w:rsidRPr="004D038E">
      <w:rPr>
        <w:rFonts w:ascii="Arial" w:hAnsi="Arial" w:cs="Arial"/>
        <w:sz w:val="20"/>
      </w:rPr>
      <w:fldChar w:fldCharType="separate"/>
    </w:r>
    <w:r w:rsidR="007777F2">
      <w:rPr>
        <w:rFonts w:ascii="Arial" w:hAnsi="Arial" w:cs="Arial"/>
        <w:noProof/>
        <w:sz w:val="20"/>
      </w:rPr>
      <w:t>18</w:t>
    </w:r>
    <w:r w:rsidRPr="004D038E">
      <w:rPr>
        <w:rFonts w:ascii="Arial" w:hAnsi="Arial" w:cs="Arial"/>
        <w:sz w:val="20"/>
      </w:rPr>
      <w:fldChar w:fldCharType="end"/>
    </w:r>
  </w:p>
  <w:p w14:paraId="67EF502C" w14:textId="77777777" w:rsidR="00BB4D6F" w:rsidRDefault="00BB4D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C131A" w14:textId="77777777" w:rsidR="00122B06" w:rsidRDefault="00122B06">
      <w:pPr>
        <w:spacing w:after="0" w:line="240" w:lineRule="auto"/>
      </w:pPr>
      <w:r>
        <w:separator/>
      </w:r>
    </w:p>
  </w:footnote>
  <w:footnote w:type="continuationSeparator" w:id="0">
    <w:p w14:paraId="5C8CA25A" w14:textId="77777777" w:rsidR="00122B06" w:rsidRDefault="00122B06">
      <w:pPr>
        <w:spacing w:after="0" w:line="240" w:lineRule="auto"/>
      </w:pPr>
      <w:r>
        <w:continuationSeparator/>
      </w:r>
    </w:p>
  </w:footnote>
  <w:footnote w:id="1">
    <w:p w14:paraId="0ABAE3F2" w14:textId="77777777" w:rsidR="00BB4D6F" w:rsidRPr="00962F66" w:rsidRDefault="00BB4D6F" w:rsidP="00F232E0">
      <w:pPr>
        <w:pStyle w:val="Textonotapie"/>
        <w:jc w:val="both"/>
        <w:rPr>
          <w:rFonts w:cs="Arial"/>
          <w:sz w:val="15"/>
          <w:szCs w:val="15"/>
          <w:lang w:val="es-CO"/>
        </w:rPr>
      </w:pPr>
      <w:r w:rsidRPr="00337A3D">
        <w:rPr>
          <w:rStyle w:val="Refdenotaalpie"/>
          <w:sz w:val="15"/>
          <w:szCs w:val="15"/>
        </w:rPr>
        <w:footnoteRef/>
      </w:r>
      <w:r w:rsidRPr="00337A3D">
        <w:rPr>
          <w:rFonts w:cs="Arial"/>
          <w:sz w:val="15"/>
          <w:szCs w:val="15"/>
        </w:rPr>
        <w:t xml:space="preserve"> </w:t>
      </w:r>
      <w:r>
        <w:rPr>
          <w:rFonts w:cs="Arial"/>
          <w:sz w:val="15"/>
          <w:szCs w:val="15"/>
        </w:rPr>
        <w:t>Adicionado por los a</w:t>
      </w:r>
      <w:r w:rsidRPr="000D19A0">
        <w:rPr>
          <w:rFonts w:cs="Arial"/>
          <w:sz w:val="15"/>
          <w:szCs w:val="15"/>
        </w:rPr>
        <w:t>rtículos 10 y 13 de la Resolución CRA 735 de 2015</w:t>
      </w:r>
      <w:r w:rsidRPr="00337A3D">
        <w:rPr>
          <w:rFonts w:cs="Arial"/>
          <w:sz w:val="15"/>
          <w:szCs w:val="15"/>
        </w:rPr>
        <w:t>.</w:t>
      </w:r>
    </w:p>
  </w:footnote>
  <w:footnote w:id="2">
    <w:p w14:paraId="3EC77BE1" w14:textId="77777777" w:rsidR="00BB4D6F" w:rsidRPr="00962F66" w:rsidRDefault="00BB4D6F" w:rsidP="00F232E0">
      <w:pPr>
        <w:pStyle w:val="Textonotapie"/>
        <w:rPr>
          <w:sz w:val="15"/>
          <w:szCs w:val="15"/>
          <w:lang w:val="es-CO"/>
        </w:rPr>
      </w:pPr>
      <w:r w:rsidRPr="00962F66">
        <w:rPr>
          <w:rStyle w:val="Refdenotaalpie"/>
          <w:sz w:val="15"/>
          <w:szCs w:val="15"/>
        </w:rPr>
        <w:footnoteRef/>
      </w:r>
      <w:r w:rsidRPr="00962F66">
        <w:rPr>
          <w:sz w:val="15"/>
          <w:szCs w:val="15"/>
        </w:rPr>
        <w:t xml:space="preserve"> </w:t>
      </w:r>
      <w:r w:rsidRPr="00962F66">
        <w:rPr>
          <w:sz w:val="15"/>
          <w:szCs w:val="15"/>
          <w:lang w:val="es-CO"/>
        </w:rPr>
        <w:t>Manual de Capacitación de IBM SPSS, Introducción a la Estadística, páginas 80 y 81.</w:t>
      </w:r>
    </w:p>
  </w:footnote>
  <w:footnote w:id="3">
    <w:p w14:paraId="05E82CBA" w14:textId="77777777" w:rsidR="00BB4D6F" w:rsidRPr="003478BE" w:rsidRDefault="00BB4D6F" w:rsidP="00DC2841">
      <w:pPr>
        <w:pStyle w:val="Textonotapie"/>
        <w:rPr>
          <w:lang w:val="es-CO"/>
        </w:rPr>
      </w:pPr>
      <w:r w:rsidRPr="003478BE">
        <w:rPr>
          <w:rStyle w:val="Refdenotaalpie"/>
          <w:szCs w:val="16"/>
        </w:rPr>
        <w:footnoteRef/>
      </w:r>
      <w:r w:rsidRPr="003478BE">
        <w:rPr>
          <w:szCs w:val="16"/>
        </w:rPr>
        <w:t xml:space="preserve"> </w:t>
      </w:r>
      <w:r w:rsidRPr="003478BE">
        <w:rPr>
          <w:szCs w:val="16"/>
          <w:lang w:val="es-CO"/>
        </w:rPr>
        <w:t>Manual de Capacitación de IBM SPSS, Introducción a la Estadística</w:t>
      </w:r>
      <w:r>
        <w:rPr>
          <w:szCs w:val="16"/>
          <w:lang w:val="es-CO"/>
        </w:rPr>
        <w:t>, páginas 80 y 81.</w:t>
      </w:r>
    </w:p>
  </w:footnote>
  <w:footnote w:id="4">
    <w:p w14:paraId="370881B6" w14:textId="77777777" w:rsidR="00BB4D6F" w:rsidRPr="00AD2787" w:rsidRDefault="00BB4D6F" w:rsidP="002C33FC">
      <w:pPr>
        <w:pStyle w:val="Textonotapie"/>
        <w:jc w:val="both"/>
        <w:rPr>
          <w:szCs w:val="16"/>
        </w:rPr>
      </w:pPr>
      <w:r w:rsidRPr="00E459A4">
        <w:rPr>
          <w:rStyle w:val="Refdenotaalpie"/>
          <w:sz w:val="15"/>
          <w:szCs w:val="15"/>
        </w:rPr>
        <w:footnoteRef/>
      </w:r>
      <w:r w:rsidRPr="00E459A4">
        <w:rPr>
          <w:sz w:val="15"/>
          <w:szCs w:val="15"/>
        </w:rPr>
        <w:t xml:space="preserve"> </w:t>
      </w:r>
      <w:r w:rsidRPr="00A041D2">
        <w:rPr>
          <w:i/>
          <w:sz w:val="15"/>
          <w:szCs w:val="15"/>
        </w:rPr>
        <w:t>"Por la cual se establece la metodología tarifaria para regular el cálculo de los costos de prestación de los servicios de acueducto y alcantarillado".</w:t>
      </w:r>
    </w:p>
  </w:footnote>
  <w:footnote w:id="5">
    <w:p w14:paraId="5C64E80D" w14:textId="77777777" w:rsidR="00BB4D6F" w:rsidRPr="007525C3" w:rsidRDefault="00BB4D6F" w:rsidP="002C33FC">
      <w:pPr>
        <w:pStyle w:val="Textonotapie"/>
        <w:jc w:val="both"/>
        <w:rPr>
          <w:rFonts w:cs="Arial"/>
          <w:szCs w:val="16"/>
          <w:lang w:val="es-CO"/>
        </w:rPr>
      </w:pPr>
      <w:r w:rsidRPr="007525C3">
        <w:rPr>
          <w:rStyle w:val="Refdenotaalpie"/>
          <w:rFonts w:cs="Arial"/>
          <w:szCs w:val="16"/>
        </w:rPr>
        <w:footnoteRef/>
      </w:r>
      <w:r w:rsidRPr="007525C3">
        <w:rPr>
          <w:rFonts w:cs="Arial"/>
          <w:szCs w:val="16"/>
        </w:rPr>
        <w:t xml:space="preserve"> </w:t>
      </w:r>
      <w:r>
        <w:rPr>
          <w:rFonts w:cs="Arial"/>
          <w:szCs w:val="16"/>
        </w:rPr>
        <w:t xml:space="preserve">Castro S y Martínez J (2006). Implementación del modelo de eficiencia comparativa DEA, en los servicios de acueducto y alcantarillado en Colombia. Revista No. 10 Regulación de Agua Potable y Saneamiento Básico. </w:t>
      </w:r>
    </w:p>
  </w:footnote>
  <w:footnote w:id="6">
    <w:p w14:paraId="262718C2" w14:textId="77777777" w:rsidR="00BB4D6F" w:rsidRDefault="00BB4D6F" w:rsidP="002C33FC">
      <w:pPr>
        <w:pStyle w:val="Textonotapie"/>
      </w:pPr>
      <w:r>
        <w:rPr>
          <w:rStyle w:val="Refdenotaalpie"/>
        </w:rPr>
        <w:footnoteRef/>
      </w:r>
      <w:r>
        <w:t xml:space="preserve"> Variable eliminada según los estudios realizados en la Resolución CRA 485 de 2009.</w:t>
      </w:r>
    </w:p>
  </w:footnote>
  <w:footnote w:id="7">
    <w:p w14:paraId="44EDA2BE" w14:textId="77777777" w:rsidR="00BB4D6F" w:rsidRDefault="00BB4D6F" w:rsidP="002C33FC">
      <w:pPr>
        <w:pStyle w:val="Textonotapie"/>
      </w:pPr>
      <w:r>
        <w:rPr>
          <w:rStyle w:val="Refdenotaalpie"/>
        </w:rPr>
        <w:footnoteRef/>
      </w:r>
      <w:r>
        <w:t xml:space="preserve"> Variable eliminada según los estudios realizados en la Resolución CRA 485 de 2009.</w:t>
      </w:r>
    </w:p>
  </w:footnote>
  <w:footnote w:id="8">
    <w:p w14:paraId="6B892BD0" w14:textId="77777777" w:rsidR="00BB4D6F" w:rsidRDefault="00BB4D6F" w:rsidP="002C33FC">
      <w:pPr>
        <w:pStyle w:val="Textonotapie"/>
      </w:pPr>
      <w:r>
        <w:rPr>
          <w:rStyle w:val="Refdenotaalpie"/>
        </w:rPr>
        <w:footnoteRef/>
      </w:r>
      <w:r>
        <w:t xml:space="preserve"> Variable modificada por m3 facturados, modificación realizada en la Resolución CRA 688 de 2014.</w:t>
      </w:r>
    </w:p>
  </w:footnote>
  <w:footnote w:id="9">
    <w:p w14:paraId="0862ADC5" w14:textId="77777777" w:rsidR="00BB4D6F" w:rsidRDefault="00BB4D6F" w:rsidP="002C33FC">
      <w:pPr>
        <w:pStyle w:val="Textonotapie"/>
      </w:pPr>
      <w:r>
        <w:rPr>
          <w:rStyle w:val="Refdenotaalpie"/>
        </w:rPr>
        <w:footnoteRef/>
      </w:r>
      <w:r>
        <w:t xml:space="preserve"> Variable eliminada según los estudios realizados en la Resolución CRA 485 de 2009.</w:t>
      </w:r>
    </w:p>
  </w:footnote>
  <w:footnote w:id="10">
    <w:p w14:paraId="4CB124EC" w14:textId="77777777" w:rsidR="00BB4D6F" w:rsidRDefault="00BB4D6F" w:rsidP="002C33FC">
      <w:pPr>
        <w:pStyle w:val="Textonotapie"/>
      </w:pPr>
      <w:r>
        <w:rPr>
          <w:rStyle w:val="Refdenotaalpie"/>
        </w:rPr>
        <w:footnoteRef/>
      </w:r>
      <w:r>
        <w:t xml:space="preserve"> Variable eliminada según los estudios realizados en la Resolución CRA 485 de 2009.</w:t>
      </w:r>
    </w:p>
  </w:footnote>
  <w:footnote w:id="11">
    <w:p w14:paraId="42E26114" w14:textId="77777777" w:rsidR="00BB4D6F" w:rsidRPr="00D82D69" w:rsidRDefault="00BB4D6F" w:rsidP="00AF5B55">
      <w:pPr>
        <w:pStyle w:val="Textonotapie"/>
        <w:rPr>
          <w:lang w:val="es-CO"/>
        </w:rPr>
      </w:pPr>
      <w:r>
        <w:rPr>
          <w:rStyle w:val="Refdenotaalpie"/>
        </w:rPr>
        <w:footnoteRef/>
      </w:r>
      <w:r>
        <w:t xml:space="preserve"> Literal g. del </w:t>
      </w:r>
      <w:r>
        <w:rPr>
          <w:lang w:val="es-CO"/>
        </w:rPr>
        <w:t>artículo 27 de la Resolución CRA 688 de 2014</w:t>
      </w:r>
    </w:p>
  </w:footnote>
  <w:footnote w:id="12">
    <w:p w14:paraId="01B312F6" w14:textId="77777777" w:rsidR="00BB4D6F" w:rsidRPr="00D82D69" w:rsidRDefault="00BB4D6F" w:rsidP="00AF5B55">
      <w:pPr>
        <w:pStyle w:val="Textonotapie"/>
        <w:rPr>
          <w:lang w:val="es-CO"/>
        </w:rPr>
      </w:pPr>
      <w:r>
        <w:rPr>
          <w:rStyle w:val="Refdenotaalpie"/>
        </w:rPr>
        <w:footnoteRef/>
      </w:r>
      <w:r>
        <w:t xml:space="preserve"> Literal k. del </w:t>
      </w:r>
      <w:r>
        <w:rPr>
          <w:lang w:val="es-CO"/>
        </w:rPr>
        <w:t>artículo 34 de la Resolución CRA 688 de 2014</w:t>
      </w:r>
    </w:p>
  </w:footnote>
  <w:footnote w:id="13">
    <w:p w14:paraId="4DEB20E9" w14:textId="77777777" w:rsidR="00BB4D6F" w:rsidRPr="003478BE" w:rsidRDefault="00BB4D6F" w:rsidP="005B72E8">
      <w:pPr>
        <w:pStyle w:val="Textonotapie"/>
        <w:rPr>
          <w:lang w:val="es-CO"/>
        </w:rPr>
      </w:pPr>
      <w:r w:rsidRPr="003478BE">
        <w:rPr>
          <w:rStyle w:val="Refdenotaalpie"/>
          <w:szCs w:val="16"/>
        </w:rPr>
        <w:footnoteRef/>
      </w:r>
      <w:r w:rsidRPr="003478BE">
        <w:rPr>
          <w:szCs w:val="16"/>
        </w:rPr>
        <w:t xml:space="preserve"> </w:t>
      </w:r>
      <w:r w:rsidRPr="003478BE">
        <w:rPr>
          <w:szCs w:val="16"/>
          <w:lang w:val="es-CO"/>
        </w:rPr>
        <w:t>Manual de Capacitación de IBM SPSS, Introducción a la Estadística</w:t>
      </w:r>
      <w:r>
        <w:rPr>
          <w:szCs w:val="16"/>
          <w:lang w:val="es-CO"/>
        </w:rPr>
        <w:t>, páginas 80 y 81.</w:t>
      </w:r>
    </w:p>
  </w:footnote>
  <w:footnote w:id="14">
    <w:p w14:paraId="505A77AB" w14:textId="77777777" w:rsidR="00BB4D6F" w:rsidRPr="00F61F1A" w:rsidRDefault="00BB4D6F" w:rsidP="008C1E16">
      <w:pPr>
        <w:pStyle w:val="Textonotapie"/>
        <w:jc w:val="both"/>
      </w:pPr>
      <w:r>
        <w:rPr>
          <w:rStyle w:val="Refdenotaalpie"/>
        </w:rPr>
        <w:footnoteRef/>
      </w:r>
      <w:r>
        <w:t xml:space="preserve"> Se realizó una interpolación de los valores obtenidos en el Índice de Calidad del Agua para llevar esta variable a la escala de 1-4 (SSPD).</w:t>
      </w:r>
    </w:p>
  </w:footnote>
  <w:footnote w:id="15">
    <w:p w14:paraId="39ADB09D" w14:textId="77777777" w:rsidR="00BB4D6F" w:rsidRPr="00135936" w:rsidRDefault="00BB4D6F" w:rsidP="00186EF6">
      <w:pPr>
        <w:pStyle w:val="Textonotapie"/>
        <w:jc w:val="both"/>
        <w:rPr>
          <w:i/>
          <w:szCs w:val="16"/>
          <w:lang w:val="es-CO"/>
        </w:rPr>
      </w:pPr>
      <w:r w:rsidRPr="00135936">
        <w:rPr>
          <w:rStyle w:val="Refdenotaalpie"/>
          <w:szCs w:val="16"/>
        </w:rPr>
        <w:footnoteRef/>
      </w:r>
      <w:r w:rsidRPr="00135936">
        <w:rPr>
          <w:szCs w:val="16"/>
          <w:lang w:val="es-CO"/>
        </w:rPr>
        <w:t xml:space="preserve"> </w:t>
      </w:r>
      <w:r w:rsidRPr="00135936">
        <w:rPr>
          <w:i/>
          <w:szCs w:val="16"/>
          <w:lang w:val="es-CO"/>
        </w:rPr>
        <w:t>“Por la cual se publican los valores de las variables que conforman los modelos de eficiencia comparativa de que trata la Resolución CRA 287 de 2004, para determinar el puntaje de eficiencia comparativa P</w:t>
      </w:r>
      <w:r w:rsidRPr="00135936">
        <w:rPr>
          <w:i/>
          <w:szCs w:val="16"/>
          <w:vertAlign w:val="subscript"/>
          <w:lang w:val="es-CO"/>
        </w:rPr>
        <w:t>DEA</w:t>
      </w:r>
      <w:r w:rsidRPr="00135936">
        <w:rPr>
          <w:i/>
          <w:szCs w:val="16"/>
          <w:lang w:val="es-CO"/>
        </w:rPr>
        <w:t xml:space="preserve"> y se dictan otras disposiciones”.</w:t>
      </w:r>
      <w:r w:rsidRPr="00135936">
        <w:rPr>
          <w:szCs w:val="16"/>
        </w:rPr>
        <w:t xml:space="preserve"> </w:t>
      </w:r>
    </w:p>
  </w:footnote>
  <w:footnote w:id="16">
    <w:p w14:paraId="575D5A8A" w14:textId="77777777" w:rsidR="00BB4D6F" w:rsidRPr="00A45DC4" w:rsidRDefault="00BB4D6F" w:rsidP="00420B14">
      <w:pPr>
        <w:pStyle w:val="Textonotapie"/>
        <w:rPr>
          <w:lang w:val="es-CO"/>
        </w:rPr>
      </w:pPr>
      <w:r>
        <w:rPr>
          <w:rStyle w:val="Refdenotaalpie"/>
        </w:rPr>
        <w:footnoteRef/>
      </w:r>
      <w:r>
        <w:t xml:space="preserve"> </w:t>
      </w:r>
      <w:r>
        <w:rPr>
          <w:lang w:val="es-CO"/>
        </w:rPr>
        <w:t>Modificado y adicionado por el artículo 11 de la Resolución 735 de 2015.</w:t>
      </w:r>
    </w:p>
  </w:footnote>
  <w:footnote w:id="17">
    <w:p w14:paraId="3367425D" w14:textId="77777777" w:rsidR="00BB4D6F" w:rsidRPr="00A45DC4" w:rsidRDefault="00BB4D6F" w:rsidP="00420B14">
      <w:pPr>
        <w:pStyle w:val="Textonotapie"/>
        <w:rPr>
          <w:lang w:val="es-CO"/>
        </w:rPr>
      </w:pPr>
      <w:r>
        <w:rPr>
          <w:rStyle w:val="Refdenotaalpie"/>
        </w:rPr>
        <w:footnoteRef/>
      </w:r>
      <w:r>
        <w:t xml:space="preserve"> Modificado por el artículo 4 de la Resolución CRA 735 de 2015.</w:t>
      </w:r>
    </w:p>
  </w:footnote>
  <w:footnote w:id="18">
    <w:p w14:paraId="1B69C8A6" w14:textId="77777777" w:rsidR="00BB4D6F" w:rsidRPr="00250497" w:rsidRDefault="00BB4D6F" w:rsidP="00420B14">
      <w:pPr>
        <w:pStyle w:val="Textonotapie"/>
        <w:rPr>
          <w:lang w:val="es-CO"/>
        </w:rPr>
      </w:pPr>
      <w:r>
        <w:rPr>
          <w:rStyle w:val="Refdenotaalpie"/>
        </w:rPr>
        <w:footnoteRef/>
      </w:r>
      <w:r>
        <w:t xml:space="preserve"> </w:t>
      </w:r>
      <w:r>
        <w:rPr>
          <w:lang w:val="es-CO"/>
        </w:rPr>
        <w:t>Modificado y adicionado por el artículo 14 de la Resolución 735 de 2015.</w:t>
      </w:r>
    </w:p>
  </w:footnote>
  <w:footnote w:id="19">
    <w:p w14:paraId="44433A22" w14:textId="77777777" w:rsidR="00BB4D6F" w:rsidRPr="00250497" w:rsidRDefault="00BB4D6F" w:rsidP="00420B14">
      <w:pPr>
        <w:pStyle w:val="Textonotapie"/>
        <w:rPr>
          <w:lang w:val="es-CO"/>
        </w:rPr>
      </w:pPr>
      <w:r>
        <w:rPr>
          <w:rStyle w:val="Refdenotaalpie"/>
        </w:rPr>
        <w:footnoteRef/>
      </w:r>
      <w:r>
        <w:t xml:space="preserve"> Modificado por el artículo 4 de la Resolución CRA 735 de 2015.</w:t>
      </w:r>
    </w:p>
  </w:footnote>
  <w:footnote w:id="20">
    <w:p w14:paraId="7EC057C6" w14:textId="77777777" w:rsidR="00BB4D6F" w:rsidRPr="0036060B" w:rsidRDefault="00BB4D6F" w:rsidP="00A53BC1">
      <w:pPr>
        <w:pStyle w:val="Textonotapie"/>
        <w:rPr>
          <w:lang w:val="en-US"/>
        </w:rPr>
      </w:pPr>
      <w:r>
        <w:rPr>
          <w:rStyle w:val="Refdenotaalpie"/>
        </w:rPr>
        <w:footnoteRef/>
      </w:r>
      <w:r w:rsidRPr="0036060B">
        <w:rPr>
          <w:lang w:val="en-US"/>
        </w:rPr>
        <w:t xml:space="preserve"> </w:t>
      </w:r>
      <w:r w:rsidRPr="001D18FE">
        <w:rPr>
          <w:sz w:val="15"/>
          <w:szCs w:val="15"/>
          <w:lang w:val="en-US"/>
        </w:rPr>
        <w:t>Cooper</w:t>
      </w:r>
      <w:r>
        <w:rPr>
          <w:sz w:val="15"/>
          <w:szCs w:val="15"/>
          <w:lang w:val="en-US"/>
        </w:rPr>
        <w:t>, W., Seiford L. y Tone K. (</w:t>
      </w:r>
      <w:r w:rsidRPr="001D18FE">
        <w:rPr>
          <w:sz w:val="15"/>
          <w:szCs w:val="15"/>
          <w:lang w:val="en-US"/>
        </w:rPr>
        <w:t>2007). Data Enveloment Analysis- DEA. A comprehensive Text With Models, Applications, References and DEA—Solver Software, Springer</w:t>
      </w:r>
    </w:p>
  </w:footnote>
  <w:footnote w:id="21">
    <w:p w14:paraId="6219FC2C" w14:textId="77777777" w:rsidR="00BB4D6F" w:rsidRPr="00D82D69" w:rsidRDefault="00BB4D6F" w:rsidP="0015472D">
      <w:pPr>
        <w:pStyle w:val="Textonotapie"/>
        <w:rPr>
          <w:lang w:val="es-CO"/>
        </w:rPr>
      </w:pPr>
      <w:r>
        <w:rPr>
          <w:rStyle w:val="Refdenotaalpie"/>
        </w:rPr>
        <w:footnoteRef/>
      </w:r>
      <w:r>
        <w:t xml:space="preserve"> </w:t>
      </w:r>
      <w:r>
        <w:rPr>
          <w:lang w:val="es-CO"/>
        </w:rPr>
        <w:t>Modificado y adicionado por el artículo 11 de la Resolución CRA 735 de 2015</w:t>
      </w:r>
    </w:p>
  </w:footnote>
  <w:footnote w:id="22">
    <w:p w14:paraId="19EC0B50" w14:textId="77777777" w:rsidR="00BB4D6F" w:rsidRPr="00D82D69" w:rsidRDefault="00BB4D6F" w:rsidP="0015472D">
      <w:pPr>
        <w:pStyle w:val="Textonotapie"/>
        <w:rPr>
          <w:lang w:val="es-CO"/>
        </w:rPr>
      </w:pPr>
      <w:r>
        <w:rPr>
          <w:rStyle w:val="Refdenotaalpie"/>
        </w:rPr>
        <w:footnoteRef/>
      </w:r>
      <w:r>
        <w:t xml:space="preserve"> Literal g. del </w:t>
      </w:r>
      <w:r>
        <w:rPr>
          <w:lang w:val="es-CO"/>
        </w:rPr>
        <w:t>artículo 27 de la Resolución CRA 688 de 2014</w:t>
      </w:r>
    </w:p>
  </w:footnote>
  <w:footnote w:id="23">
    <w:p w14:paraId="0F7AC20C" w14:textId="77777777" w:rsidR="00BB4D6F" w:rsidRPr="00D82D69" w:rsidRDefault="00BB4D6F" w:rsidP="0015472D">
      <w:pPr>
        <w:pStyle w:val="Textonotapie"/>
        <w:rPr>
          <w:lang w:val="es-CO"/>
        </w:rPr>
      </w:pPr>
      <w:r>
        <w:rPr>
          <w:rStyle w:val="Refdenotaalpie"/>
        </w:rPr>
        <w:footnoteRef/>
      </w:r>
      <w:r>
        <w:t xml:space="preserve"> </w:t>
      </w:r>
      <w:r>
        <w:rPr>
          <w:lang w:val="es-CO"/>
        </w:rPr>
        <w:t>Modificado y adicionado por el artículo 14 de la Resolución CRA 735 de 2015</w:t>
      </w:r>
    </w:p>
  </w:footnote>
  <w:footnote w:id="24">
    <w:p w14:paraId="737312DC" w14:textId="77777777" w:rsidR="00BB4D6F" w:rsidRPr="00D82D69" w:rsidRDefault="00BB4D6F" w:rsidP="0015472D">
      <w:pPr>
        <w:pStyle w:val="Textonotapie"/>
        <w:rPr>
          <w:lang w:val="es-CO"/>
        </w:rPr>
      </w:pPr>
      <w:r>
        <w:rPr>
          <w:rStyle w:val="Refdenotaalpie"/>
        </w:rPr>
        <w:footnoteRef/>
      </w:r>
      <w:r>
        <w:t xml:space="preserve"> Literal k. del </w:t>
      </w:r>
      <w:r>
        <w:rPr>
          <w:lang w:val="es-CO"/>
        </w:rPr>
        <w:t>artículo 34 de la Resolución CRA 688 de 2014</w:t>
      </w:r>
    </w:p>
  </w:footnote>
  <w:footnote w:id="25">
    <w:p w14:paraId="20A76D39" w14:textId="77777777" w:rsidR="00BB4D6F" w:rsidRPr="00D8184E" w:rsidRDefault="00BB4D6F">
      <w:pPr>
        <w:pStyle w:val="Textonotapie"/>
        <w:rPr>
          <w:lang w:val="en-US"/>
        </w:rPr>
      </w:pPr>
      <w:r>
        <w:rPr>
          <w:rStyle w:val="Refdenotaalpie"/>
        </w:rPr>
        <w:footnoteRef/>
      </w:r>
      <w:r w:rsidRPr="00D8184E">
        <w:rPr>
          <w:lang w:val="en-US"/>
        </w:rPr>
        <w:t xml:space="preserve"> Cooper, W., Seiford L. y Tone K. (2007). Data Enveloment Analysis- DEA. A comprehensive Text With Models, Applications, References and DEA—Solver Software, Springer, pág. 283.</w:t>
      </w:r>
    </w:p>
  </w:footnote>
  <w:footnote w:id="26">
    <w:p w14:paraId="5215DB61" w14:textId="77777777" w:rsidR="00BB4D6F" w:rsidRPr="00F40141" w:rsidRDefault="00BB4D6F">
      <w:pPr>
        <w:pStyle w:val="Textonotapie"/>
        <w:rPr>
          <w:lang w:val="es-CO"/>
        </w:rPr>
      </w:pPr>
      <w:r>
        <w:rPr>
          <w:rStyle w:val="Refdenotaalpie"/>
        </w:rPr>
        <w:footnoteRef/>
      </w:r>
      <w:r>
        <w:t xml:space="preserve"> </w:t>
      </w:r>
      <w:r w:rsidRPr="00F40141">
        <w:t>Actualizado y adicionado por el artículo 10 de la Resolución CRA 735 de 2015</w:t>
      </w:r>
      <w:r>
        <w:t>.</w:t>
      </w:r>
    </w:p>
  </w:footnote>
  <w:footnote w:id="27">
    <w:p w14:paraId="2B8DF081" w14:textId="77777777" w:rsidR="00BB4D6F" w:rsidRPr="00F40141" w:rsidRDefault="00BB4D6F">
      <w:pPr>
        <w:pStyle w:val="Textonotapie"/>
        <w:rPr>
          <w:lang w:val="es-CO"/>
        </w:rPr>
      </w:pPr>
      <w:r>
        <w:rPr>
          <w:rStyle w:val="Refdenotaalpie"/>
        </w:rPr>
        <w:footnoteRef/>
      </w:r>
      <w:r>
        <w:t xml:space="preserve"> </w:t>
      </w:r>
      <w:r w:rsidRPr="00F40141">
        <w:t>Actualizado y adicionado por el artículo 13 de la Resolución CRA 735 de 2015</w:t>
      </w:r>
      <w:r>
        <w:t>.</w:t>
      </w:r>
    </w:p>
  </w:footnote>
  <w:footnote w:id="28">
    <w:p w14:paraId="7F505DA6" w14:textId="77777777" w:rsidR="00BB4D6F" w:rsidRPr="00962F66" w:rsidRDefault="00BB4D6F" w:rsidP="00AE0150">
      <w:pPr>
        <w:pStyle w:val="Textonotapie"/>
        <w:jc w:val="both"/>
        <w:rPr>
          <w:rFonts w:cs="Arial"/>
          <w:sz w:val="15"/>
          <w:szCs w:val="15"/>
          <w:lang w:val="es-CO"/>
        </w:rPr>
      </w:pPr>
      <w:r w:rsidRPr="00337A3D">
        <w:rPr>
          <w:rStyle w:val="Refdenotaalpie"/>
          <w:sz w:val="15"/>
          <w:szCs w:val="15"/>
        </w:rPr>
        <w:footnoteRef/>
      </w:r>
      <w:r w:rsidRPr="00337A3D">
        <w:rPr>
          <w:rFonts w:cs="Arial"/>
          <w:sz w:val="15"/>
          <w:szCs w:val="15"/>
        </w:rPr>
        <w:t xml:space="preserve"> </w:t>
      </w:r>
      <w:r>
        <w:rPr>
          <w:rFonts w:cs="Arial"/>
          <w:sz w:val="15"/>
          <w:szCs w:val="15"/>
        </w:rPr>
        <w:t>Adicionado por los a</w:t>
      </w:r>
      <w:r w:rsidRPr="000D19A0">
        <w:rPr>
          <w:rFonts w:cs="Arial"/>
          <w:sz w:val="15"/>
          <w:szCs w:val="15"/>
        </w:rPr>
        <w:t>rtículos 10 y 13 de la Resolución CRA 735 de 2015</w:t>
      </w:r>
      <w:r w:rsidRPr="00337A3D">
        <w:rPr>
          <w:rFonts w:cs="Arial"/>
          <w:sz w:val="15"/>
          <w:szCs w:val="15"/>
        </w:rPr>
        <w:t>.</w:t>
      </w:r>
    </w:p>
  </w:footnote>
  <w:footnote w:id="29">
    <w:p w14:paraId="4925B2DF" w14:textId="77777777" w:rsidR="00BB4D6F" w:rsidRPr="00962F66" w:rsidRDefault="00BB4D6F" w:rsidP="00932E91">
      <w:pPr>
        <w:pStyle w:val="Textonotapie"/>
        <w:rPr>
          <w:sz w:val="15"/>
          <w:szCs w:val="15"/>
          <w:lang w:val="es-CO"/>
        </w:rPr>
      </w:pPr>
      <w:r w:rsidRPr="00962F66">
        <w:rPr>
          <w:rStyle w:val="Refdenotaalpie"/>
          <w:sz w:val="15"/>
          <w:szCs w:val="15"/>
        </w:rPr>
        <w:footnoteRef/>
      </w:r>
      <w:r w:rsidRPr="00962F66">
        <w:rPr>
          <w:sz w:val="15"/>
          <w:szCs w:val="15"/>
        </w:rPr>
        <w:t xml:space="preserve"> </w:t>
      </w:r>
      <w:r w:rsidRPr="00962F66">
        <w:rPr>
          <w:sz w:val="15"/>
          <w:szCs w:val="15"/>
          <w:lang w:val="es-CO"/>
        </w:rPr>
        <w:t>Manual de Capacitación de IBM SPSS, Introducción a la Estadística, páginas 80 y 81.</w:t>
      </w:r>
    </w:p>
  </w:footnote>
  <w:footnote w:id="30">
    <w:p w14:paraId="464C01BC" w14:textId="77777777" w:rsidR="00BB4D6F" w:rsidRPr="00A016F3" w:rsidRDefault="00BB4D6F" w:rsidP="002A470D">
      <w:pPr>
        <w:pStyle w:val="Textonotapie"/>
        <w:jc w:val="both"/>
        <w:rPr>
          <w:sz w:val="15"/>
          <w:szCs w:val="15"/>
          <w:lang w:val="es-CO"/>
        </w:rPr>
      </w:pPr>
      <w:r w:rsidRPr="00E459A4">
        <w:rPr>
          <w:rStyle w:val="Refdenotaalpie"/>
          <w:sz w:val="15"/>
          <w:szCs w:val="15"/>
        </w:rPr>
        <w:footnoteRef/>
      </w:r>
      <w:r w:rsidRPr="00E459A4">
        <w:rPr>
          <w:sz w:val="15"/>
          <w:szCs w:val="15"/>
        </w:rPr>
        <w:t xml:space="preserve"> </w:t>
      </w:r>
      <w:r w:rsidRPr="00E459A4">
        <w:rPr>
          <w:sz w:val="15"/>
          <w:szCs w:val="15"/>
          <w:lang w:val="es-CO"/>
        </w:rPr>
        <w:t>Eficiencia relativa: Hace referencia al nivel productivo que debe alcanzar la empresa con la menor cantidad de costos; es decir, evalúa el grado de desempeño de las</w:t>
      </w:r>
      <w:r w:rsidRPr="00A016F3">
        <w:rPr>
          <w:sz w:val="15"/>
          <w:szCs w:val="15"/>
          <w:lang w:val="es-CO"/>
        </w:rPr>
        <w:t xml:space="preserve"> empresas en el proceso de conversión de los insumos en productos.</w:t>
      </w:r>
    </w:p>
  </w:footnote>
  <w:footnote w:id="31">
    <w:p w14:paraId="6CEB5246" w14:textId="77777777" w:rsidR="00BB4D6F" w:rsidRPr="00962F66" w:rsidRDefault="00BB4D6F" w:rsidP="007079EE">
      <w:pPr>
        <w:pStyle w:val="Textonotapie"/>
        <w:jc w:val="both"/>
        <w:rPr>
          <w:rFonts w:cs="Arial"/>
          <w:sz w:val="15"/>
          <w:szCs w:val="15"/>
          <w:lang w:val="es-CO"/>
        </w:rPr>
      </w:pPr>
      <w:r w:rsidRPr="00337A3D">
        <w:rPr>
          <w:rStyle w:val="Refdenotaalpie"/>
          <w:sz w:val="15"/>
          <w:szCs w:val="15"/>
        </w:rPr>
        <w:footnoteRef/>
      </w:r>
      <w:r w:rsidRPr="00337A3D">
        <w:rPr>
          <w:rFonts w:cs="Arial"/>
          <w:sz w:val="15"/>
          <w:szCs w:val="15"/>
        </w:rPr>
        <w:t xml:space="preserve"> </w:t>
      </w:r>
      <w:r>
        <w:rPr>
          <w:rFonts w:cs="Arial"/>
          <w:sz w:val="15"/>
          <w:szCs w:val="15"/>
        </w:rPr>
        <w:t>Adicionado por los a</w:t>
      </w:r>
      <w:r w:rsidRPr="000D19A0">
        <w:rPr>
          <w:rFonts w:cs="Arial"/>
          <w:sz w:val="15"/>
          <w:szCs w:val="15"/>
        </w:rPr>
        <w:t>rtículos 10 y 13 de la Resolución CRA 735 de 2015</w:t>
      </w:r>
      <w:r w:rsidRPr="00337A3D">
        <w:rPr>
          <w:rFonts w:cs="Arial"/>
          <w:sz w:val="15"/>
          <w:szCs w:val="15"/>
        </w:rPr>
        <w:t>.</w:t>
      </w:r>
    </w:p>
  </w:footnote>
  <w:footnote w:id="32">
    <w:p w14:paraId="1AC0447D" w14:textId="77777777" w:rsidR="00BB4D6F" w:rsidRPr="00962F66" w:rsidRDefault="00BB4D6F" w:rsidP="007079EE">
      <w:pPr>
        <w:pStyle w:val="Textonotapie"/>
        <w:rPr>
          <w:sz w:val="15"/>
          <w:szCs w:val="15"/>
          <w:lang w:val="es-CO"/>
        </w:rPr>
      </w:pPr>
      <w:r w:rsidRPr="00962F66">
        <w:rPr>
          <w:rStyle w:val="Refdenotaalpie"/>
          <w:sz w:val="15"/>
          <w:szCs w:val="15"/>
        </w:rPr>
        <w:footnoteRef/>
      </w:r>
      <w:r w:rsidRPr="00962F66">
        <w:rPr>
          <w:sz w:val="15"/>
          <w:szCs w:val="15"/>
        </w:rPr>
        <w:t xml:space="preserve"> </w:t>
      </w:r>
      <w:r w:rsidRPr="00962F66">
        <w:rPr>
          <w:sz w:val="15"/>
          <w:szCs w:val="15"/>
          <w:lang w:val="es-CO"/>
        </w:rPr>
        <w:t>Manual de Capacitación de IBM SPSS, Introducción a la Estadística, páginas 80 y 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BF11" w14:textId="77777777" w:rsidR="00BB4D6F" w:rsidRDefault="00BB4D6F" w:rsidP="002E5111">
    <w:pPr>
      <w:pStyle w:val="Encabezado"/>
      <w:tabs>
        <w:tab w:val="left" w:pos="7938"/>
      </w:tabs>
      <w:jc w:val="right"/>
      <w:rPr>
        <w:lang w:val="es-CO"/>
      </w:rPr>
    </w:pPr>
    <w:r>
      <w:rPr>
        <w:noProof/>
        <w:lang w:eastAsia="es-ES"/>
      </w:rPr>
      <w:drawing>
        <wp:anchor distT="0" distB="0" distL="114300" distR="114300" simplePos="0" relativeHeight="251658240" behindDoc="1" locked="0" layoutInCell="1" allowOverlap="1" wp14:anchorId="174D8A97" wp14:editId="14CA8E3C">
          <wp:simplePos x="0" y="0"/>
          <wp:positionH relativeFrom="column">
            <wp:posOffset>3051175</wp:posOffset>
          </wp:positionH>
          <wp:positionV relativeFrom="paragraph">
            <wp:posOffset>-321945</wp:posOffset>
          </wp:positionV>
          <wp:extent cx="3239770" cy="920115"/>
          <wp:effectExtent l="0" t="0" r="0" b="0"/>
          <wp:wrapNone/>
          <wp:docPr id="8" name="Imagen 8" descr="LogoByNr150dpi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ByNr150dpi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216" behindDoc="0" locked="0" layoutInCell="1" allowOverlap="1" wp14:anchorId="39BF634C" wp14:editId="7E5129BB">
          <wp:simplePos x="0" y="0"/>
          <wp:positionH relativeFrom="column">
            <wp:posOffset>26670</wp:posOffset>
          </wp:positionH>
          <wp:positionV relativeFrom="paragraph">
            <wp:posOffset>-74295</wp:posOffset>
          </wp:positionV>
          <wp:extent cx="1800225" cy="553720"/>
          <wp:effectExtent l="0" t="0" r="0" b="0"/>
          <wp:wrapTopAndBottom/>
          <wp:docPr id="3" name="Imagen 3" descr="CRA2013ByN RGB PQ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2013ByN RGB PQ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53720"/>
                  </a:xfrm>
                  <a:prstGeom prst="rect">
                    <a:avLst/>
                  </a:prstGeom>
                  <a:noFill/>
                </pic:spPr>
              </pic:pic>
            </a:graphicData>
          </a:graphic>
          <wp14:sizeRelH relativeFrom="page">
            <wp14:pctWidth>0</wp14:pctWidth>
          </wp14:sizeRelH>
          <wp14:sizeRelV relativeFrom="page">
            <wp14:pctHeight>0</wp14:pctHeight>
          </wp14:sizeRelV>
        </wp:anchor>
      </w:drawing>
    </w:r>
    <w:r>
      <w:rPr>
        <w:lang w:val="es-CO"/>
      </w:rPr>
      <w:tab/>
    </w:r>
    <w:r>
      <w:rPr>
        <w:lang w:val="es-CO"/>
      </w:rPr>
      <w:tab/>
    </w:r>
    <w:r>
      <w:rPr>
        <w:lang w:val="es-CO"/>
      </w:rPr>
      <w:tab/>
    </w:r>
    <w:r>
      <w:rPr>
        <w:lang w:val="es-CO"/>
      </w:rPr>
      <w:tab/>
    </w:r>
    <w:r>
      <w:rPr>
        <w:lang w:val="es-CO"/>
      </w:rPr>
      <w:tab/>
    </w:r>
    <w:r>
      <w:rPr>
        <w:lang w:val="es-CO"/>
      </w:rPr>
      <w:tab/>
    </w:r>
    <w:r>
      <w:rPr>
        <w:lang w:val="es-CO"/>
      </w:rPr>
      <w:tab/>
    </w:r>
  </w:p>
  <w:p w14:paraId="0836DEBF" w14:textId="77777777" w:rsidR="00BB4D6F" w:rsidRDefault="00BB4D6F" w:rsidP="00EA60A3">
    <w:pPr>
      <w:pStyle w:val="Encabezado"/>
      <w:rPr>
        <w:lang w:val="es-CO"/>
      </w:rPr>
    </w:pPr>
  </w:p>
  <w:p w14:paraId="3C0C0AB2" w14:textId="77777777" w:rsidR="00BB4D6F" w:rsidRPr="005337D6" w:rsidRDefault="00BB4D6F" w:rsidP="00B45326">
    <w:pPr>
      <w:pStyle w:val="Encabezado"/>
      <w:ind w:left="708" w:firstLine="708"/>
      <w:jc w:val="right"/>
      <w:rPr>
        <w:rFonts w:ascii="Arial" w:hAnsi="Arial" w:cs="Arial"/>
        <w:color w:val="00B050"/>
        <w:sz w:val="18"/>
        <w:lang w:val="es-CO"/>
      </w:rPr>
    </w:pPr>
    <w:r w:rsidRPr="005337D6">
      <w:rPr>
        <w:rFonts w:ascii="Arial" w:hAnsi="Arial" w:cs="Arial"/>
        <w:color w:val="00B050"/>
        <w:sz w:val="18"/>
        <w:lang w:val="es-CO"/>
      </w:rPr>
      <w:t>REG-FO</w:t>
    </w:r>
    <w:r>
      <w:rPr>
        <w:rFonts w:ascii="Arial" w:hAnsi="Arial" w:cs="Arial"/>
        <w:color w:val="00B050"/>
        <w:sz w:val="18"/>
        <w:lang w:val="es-CO"/>
      </w:rPr>
      <w:t>R04</w:t>
    </w:r>
    <w:r w:rsidRPr="005337D6">
      <w:rPr>
        <w:rFonts w:ascii="Arial" w:hAnsi="Arial" w:cs="Arial"/>
        <w:color w:val="00B050"/>
        <w:sz w:val="18"/>
        <w:lang w:val="es-CO"/>
      </w:rPr>
      <w:t xml:space="preserve">   V01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D5C8570"/>
    <w:lvl w:ilvl="0">
      <w:start w:val="1"/>
      <w:numFmt w:val="none"/>
      <w:lvlText w:val=""/>
      <w:lvlJc w:val="left"/>
      <w:pPr>
        <w:tabs>
          <w:tab w:val="num" w:pos="432"/>
        </w:tabs>
        <w:ind w:left="432" w:hanging="432"/>
      </w:pPr>
    </w:lvl>
    <w:lvl w:ilvl="1">
      <w:start w:val="1"/>
      <w:numFmt w:val="bullet"/>
      <w:pStyle w:val="Ttulo2"/>
      <w:lvlText w:val=""/>
      <w:lvlJc w:val="left"/>
      <w:pPr>
        <w:tabs>
          <w:tab w:val="num" w:pos="576"/>
        </w:tabs>
        <w:ind w:left="576" w:hanging="576"/>
      </w:pPr>
      <w:rPr>
        <w:rFonts w:ascii="Symbol" w:hAnsi="Symbol" w:hint="default"/>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CA42D2"/>
    <w:multiLevelType w:val="hybridMultilevel"/>
    <w:tmpl w:val="AC54C6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2A7AA6"/>
    <w:multiLevelType w:val="hybridMultilevel"/>
    <w:tmpl w:val="01C433AE"/>
    <w:lvl w:ilvl="0" w:tplc="240A0019">
      <w:start w:val="1"/>
      <w:numFmt w:val="lowerLetter"/>
      <w:lvlText w:val="%1."/>
      <w:lvlJc w:val="left"/>
      <w:pPr>
        <w:ind w:left="1358" w:hanging="360"/>
      </w:pPr>
      <w:rPr>
        <w:rFonts w:cs="Times New Roman" w:hint="default"/>
      </w:rPr>
    </w:lvl>
    <w:lvl w:ilvl="1" w:tplc="240A0019" w:tentative="1">
      <w:start w:val="1"/>
      <w:numFmt w:val="lowerLetter"/>
      <w:lvlText w:val="%2."/>
      <w:lvlJc w:val="left"/>
      <w:pPr>
        <w:ind w:left="2078" w:hanging="360"/>
      </w:pPr>
      <w:rPr>
        <w:rFonts w:cs="Times New Roman"/>
      </w:rPr>
    </w:lvl>
    <w:lvl w:ilvl="2" w:tplc="240A001B" w:tentative="1">
      <w:start w:val="1"/>
      <w:numFmt w:val="lowerRoman"/>
      <w:lvlText w:val="%3."/>
      <w:lvlJc w:val="right"/>
      <w:pPr>
        <w:ind w:left="2798" w:hanging="180"/>
      </w:pPr>
      <w:rPr>
        <w:rFonts w:cs="Times New Roman"/>
      </w:rPr>
    </w:lvl>
    <w:lvl w:ilvl="3" w:tplc="240A000F" w:tentative="1">
      <w:start w:val="1"/>
      <w:numFmt w:val="decimal"/>
      <w:lvlText w:val="%4."/>
      <w:lvlJc w:val="left"/>
      <w:pPr>
        <w:ind w:left="3518" w:hanging="360"/>
      </w:pPr>
      <w:rPr>
        <w:rFonts w:cs="Times New Roman"/>
      </w:rPr>
    </w:lvl>
    <w:lvl w:ilvl="4" w:tplc="240A0019" w:tentative="1">
      <w:start w:val="1"/>
      <w:numFmt w:val="lowerLetter"/>
      <w:lvlText w:val="%5."/>
      <w:lvlJc w:val="left"/>
      <w:pPr>
        <w:ind w:left="4238" w:hanging="360"/>
      </w:pPr>
      <w:rPr>
        <w:rFonts w:cs="Times New Roman"/>
      </w:rPr>
    </w:lvl>
    <w:lvl w:ilvl="5" w:tplc="240A001B" w:tentative="1">
      <w:start w:val="1"/>
      <w:numFmt w:val="lowerRoman"/>
      <w:lvlText w:val="%6."/>
      <w:lvlJc w:val="right"/>
      <w:pPr>
        <w:ind w:left="4958" w:hanging="180"/>
      </w:pPr>
      <w:rPr>
        <w:rFonts w:cs="Times New Roman"/>
      </w:rPr>
    </w:lvl>
    <w:lvl w:ilvl="6" w:tplc="240A000F" w:tentative="1">
      <w:start w:val="1"/>
      <w:numFmt w:val="decimal"/>
      <w:lvlText w:val="%7."/>
      <w:lvlJc w:val="left"/>
      <w:pPr>
        <w:ind w:left="5678" w:hanging="360"/>
      </w:pPr>
      <w:rPr>
        <w:rFonts w:cs="Times New Roman"/>
      </w:rPr>
    </w:lvl>
    <w:lvl w:ilvl="7" w:tplc="240A0019" w:tentative="1">
      <w:start w:val="1"/>
      <w:numFmt w:val="lowerLetter"/>
      <w:lvlText w:val="%8."/>
      <w:lvlJc w:val="left"/>
      <w:pPr>
        <w:ind w:left="6398" w:hanging="360"/>
      </w:pPr>
      <w:rPr>
        <w:rFonts w:cs="Times New Roman"/>
      </w:rPr>
    </w:lvl>
    <w:lvl w:ilvl="8" w:tplc="240A001B" w:tentative="1">
      <w:start w:val="1"/>
      <w:numFmt w:val="lowerRoman"/>
      <w:lvlText w:val="%9."/>
      <w:lvlJc w:val="right"/>
      <w:pPr>
        <w:ind w:left="7118" w:hanging="180"/>
      </w:pPr>
      <w:rPr>
        <w:rFonts w:cs="Times New Roman"/>
      </w:rPr>
    </w:lvl>
  </w:abstractNum>
  <w:abstractNum w:abstractNumId="3" w15:restartNumberingAfterBreak="0">
    <w:nsid w:val="062A236D"/>
    <w:multiLevelType w:val="hybridMultilevel"/>
    <w:tmpl w:val="709A3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FA2BF3"/>
    <w:multiLevelType w:val="hybridMultilevel"/>
    <w:tmpl w:val="702E1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B70608"/>
    <w:multiLevelType w:val="hybridMultilevel"/>
    <w:tmpl w:val="2F4023A8"/>
    <w:lvl w:ilvl="0" w:tplc="B914C8D2">
      <w:numFmt w:val="bullet"/>
      <w:lvlText w:val="-"/>
      <w:lvlJc w:val="left"/>
      <w:pPr>
        <w:ind w:left="720" w:hanging="360"/>
      </w:pPr>
      <w:rPr>
        <w:rFonts w:ascii="Times New Roman" w:hAnsi="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3B4072"/>
    <w:multiLevelType w:val="multilevel"/>
    <w:tmpl w:val="240A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6376DF"/>
    <w:multiLevelType w:val="multilevel"/>
    <w:tmpl w:val="34F2844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0D627D"/>
    <w:multiLevelType w:val="hybridMultilevel"/>
    <w:tmpl w:val="5CD84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6332C8"/>
    <w:multiLevelType w:val="hybridMultilevel"/>
    <w:tmpl w:val="AD260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7A0379"/>
    <w:multiLevelType w:val="hybridMultilevel"/>
    <w:tmpl w:val="054810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A95479"/>
    <w:multiLevelType w:val="hybridMultilevel"/>
    <w:tmpl w:val="ED2C5B9C"/>
    <w:lvl w:ilvl="0" w:tplc="5C106832">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08712A1"/>
    <w:multiLevelType w:val="hybridMultilevel"/>
    <w:tmpl w:val="A776C5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97668D"/>
    <w:multiLevelType w:val="hybridMultilevel"/>
    <w:tmpl w:val="0ABACB3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ED00EC"/>
    <w:multiLevelType w:val="hybridMultilevel"/>
    <w:tmpl w:val="2758DE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251E3326"/>
    <w:multiLevelType w:val="hybridMultilevel"/>
    <w:tmpl w:val="24066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0" w:hanging="360"/>
      </w:pPr>
      <w:rPr>
        <w:rFonts w:ascii="Courier New" w:hAnsi="Courier New" w:cs="Courier New" w:hint="default"/>
      </w:rPr>
    </w:lvl>
    <w:lvl w:ilvl="2" w:tplc="240A0005" w:tentative="1">
      <w:start w:val="1"/>
      <w:numFmt w:val="bullet"/>
      <w:lvlText w:val=""/>
      <w:lvlJc w:val="left"/>
      <w:pPr>
        <w:ind w:left="720" w:hanging="360"/>
      </w:pPr>
      <w:rPr>
        <w:rFonts w:ascii="Wingdings" w:hAnsi="Wingdings" w:hint="default"/>
      </w:rPr>
    </w:lvl>
    <w:lvl w:ilvl="3" w:tplc="240A0001" w:tentative="1">
      <w:start w:val="1"/>
      <w:numFmt w:val="bullet"/>
      <w:lvlText w:val=""/>
      <w:lvlJc w:val="left"/>
      <w:pPr>
        <w:ind w:left="1440" w:hanging="360"/>
      </w:pPr>
      <w:rPr>
        <w:rFonts w:ascii="Symbol" w:hAnsi="Symbol" w:hint="default"/>
      </w:rPr>
    </w:lvl>
    <w:lvl w:ilvl="4" w:tplc="240A0003" w:tentative="1">
      <w:start w:val="1"/>
      <w:numFmt w:val="bullet"/>
      <w:lvlText w:val="o"/>
      <w:lvlJc w:val="left"/>
      <w:pPr>
        <w:ind w:left="2160" w:hanging="360"/>
      </w:pPr>
      <w:rPr>
        <w:rFonts w:ascii="Courier New" w:hAnsi="Courier New" w:cs="Courier New" w:hint="default"/>
      </w:rPr>
    </w:lvl>
    <w:lvl w:ilvl="5" w:tplc="240A0005" w:tentative="1">
      <w:start w:val="1"/>
      <w:numFmt w:val="bullet"/>
      <w:lvlText w:val=""/>
      <w:lvlJc w:val="left"/>
      <w:pPr>
        <w:ind w:left="2880" w:hanging="360"/>
      </w:pPr>
      <w:rPr>
        <w:rFonts w:ascii="Wingdings" w:hAnsi="Wingdings" w:hint="default"/>
      </w:rPr>
    </w:lvl>
    <w:lvl w:ilvl="6" w:tplc="240A0001" w:tentative="1">
      <w:start w:val="1"/>
      <w:numFmt w:val="bullet"/>
      <w:lvlText w:val=""/>
      <w:lvlJc w:val="left"/>
      <w:pPr>
        <w:ind w:left="3600" w:hanging="360"/>
      </w:pPr>
      <w:rPr>
        <w:rFonts w:ascii="Symbol" w:hAnsi="Symbol" w:hint="default"/>
      </w:rPr>
    </w:lvl>
    <w:lvl w:ilvl="7" w:tplc="240A0003" w:tentative="1">
      <w:start w:val="1"/>
      <w:numFmt w:val="bullet"/>
      <w:lvlText w:val="o"/>
      <w:lvlJc w:val="left"/>
      <w:pPr>
        <w:ind w:left="4320" w:hanging="360"/>
      </w:pPr>
      <w:rPr>
        <w:rFonts w:ascii="Courier New" w:hAnsi="Courier New" w:cs="Courier New" w:hint="default"/>
      </w:rPr>
    </w:lvl>
    <w:lvl w:ilvl="8" w:tplc="240A0005" w:tentative="1">
      <w:start w:val="1"/>
      <w:numFmt w:val="bullet"/>
      <w:lvlText w:val=""/>
      <w:lvlJc w:val="left"/>
      <w:pPr>
        <w:ind w:left="5040" w:hanging="360"/>
      </w:pPr>
      <w:rPr>
        <w:rFonts w:ascii="Wingdings" w:hAnsi="Wingdings" w:hint="default"/>
      </w:rPr>
    </w:lvl>
  </w:abstractNum>
  <w:abstractNum w:abstractNumId="16" w15:restartNumberingAfterBreak="0">
    <w:nsid w:val="2B021A12"/>
    <w:multiLevelType w:val="multilevel"/>
    <w:tmpl w:val="240A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F04838"/>
    <w:multiLevelType w:val="hybridMultilevel"/>
    <w:tmpl w:val="B0A05790"/>
    <w:lvl w:ilvl="0" w:tplc="C3AAF1B4">
      <w:start w:val="1"/>
      <w:numFmt w:val="bullet"/>
      <w:lvlText w:val="-"/>
      <w:lvlJc w:val="left"/>
      <w:pPr>
        <w:tabs>
          <w:tab w:val="num" w:pos="720"/>
        </w:tabs>
        <w:ind w:left="720" w:hanging="360"/>
      </w:pPr>
      <w:rPr>
        <w:rFonts w:ascii="Times New Roman" w:hAnsi="Times New Roman" w:hint="default"/>
      </w:rPr>
    </w:lvl>
    <w:lvl w:ilvl="1" w:tplc="0D2E1D84" w:tentative="1">
      <w:start w:val="1"/>
      <w:numFmt w:val="bullet"/>
      <w:lvlText w:val="-"/>
      <w:lvlJc w:val="left"/>
      <w:pPr>
        <w:tabs>
          <w:tab w:val="num" w:pos="1440"/>
        </w:tabs>
        <w:ind w:left="1440" w:hanging="360"/>
      </w:pPr>
      <w:rPr>
        <w:rFonts w:ascii="Times New Roman" w:hAnsi="Times New Roman" w:hint="default"/>
      </w:rPr>
    </w:lvl>
    <w:lvl w:ilvl="2" w:tplc="CA362792" w:tentative="1">
      <w:start w:val="1"/>
      <w:numFmt w:val="bullet"/>
      <w:lvlText w:val="-"/>
      <w:lvlJc w:val="left"/>
      <w:pPr>
        <w:tabs>
          <w:tab w:val="num" w:pos="2160"/>
        </w:tabs>
        <w:ind w:left="2160" w:hanging="360"/>
      </w:pPr>
      <w:rPr>
        <w:rFonts w:ascii="Times New Roman" w:hAnsi="Times New Roman" w:hint="default"/>
      </w:rPr>
    </w:lvl>
    <w:lvl w:ilvl="3" w:tplc="5FC0B4C0" w:tentative="1">
      <w:start w:val="1"/>
      <w:numFmt w:val="bullet"/>
      <w:lvlText w:val="-"/>
      <w:lvlJc w:val="left"/>
      <w:pPr>
        <w:tabs>
          <w:tab w:val="num" w:pos="2880"/>
        </w:tabs>
        <w:ind w:left="2880" w:hanging="360"/>
      </w:pPr>
      <w:rPr>
        <w:rFonts w:ascii="Times New Roman" w:hAnsi="Times New Roman" w:hint="default"/>
      </w:rPr>
    </w:lvl>
    <w:lvl w:ilvl="4" w:tplc="99A0F8BC" w:tentative="1">
      <w:start w:val="1"/>
      <w:numFmt w:val="bullet"/>
      <w:lvlText w:val="-"/>
      <w:lvlJc w:val="left"/>
      <w:pPr>
        <w:tabs>
          <w:tab w:val="num" w:pos="3600"/>
        </w:tabs>
        <w:ind w:left="3600" w:hanging="360"/>
      </w:pPr>
      <w:rPr>
        <w:rFonts w:ascii="Times New Roman" w:hAnsi="Times New Roman" w:hint="default"/>
      </w:rPr>
    </w:lvl>
    <w:lvl w:ilvl="5" w:tplc="E17AB2DA" w:tentative="1">
      <w:start w:val="1"/>
      <w:numFmt w:val="bullet"/>
      <w:lvlText w:val="-"/>
      <w:lvlJc w:val="left"/>
      <w:pPr>
        <w:tabs>
          <w:tab w:val="num" w:pos="4320"/>
        </w:tabs>
        <w:ind w:left="4320" w:hanging="360"/>
      </w:pPr>
      <w:rPr>
        <w:rFonts w:ascii="Times New Roman" w:hAnsi="Times New Roman" w:hint="default"/>
      </w:rPr>
    </w:lvl>
    <w:lvl w:ilvl="6" w:tplc="FFD2AD8E" w:tentative="1">
      <w:start w:val="1"/>
      <w:numFmt w:val="bullet"/>
      <w:lvlText w:val="-"/>
      <w:lvlJc w:val="left"/>
      <w:pPr>
        <w:tabs>
          <w:tab w:val="num" w:pos="5040"/>
        </w:tabs>
        <w:ind w:left="5040" w:hanging="360"/>
      </w:pPr>
      <w:rPr>
        <w:rFonts w:ascii="Times New Roman" w:hAnsi="Times New Roman" w:hint="default"/>
      </w:rPr>
    </w:lvl>
    <w:lvl w:ilvl="7" w:tplc="BBE607AA" w:tentative="1">
      <w:start w:val="1"/>
      <w:numFmt w:val="bullet"/>
      <w:lvlText w:val="-"/>
      <w:lvlJc w:val="left"/>
      <w:pPr>
        <w:tabs>
          <w:tab w:val="num" w:pos="5760"/>
        </w:tabs>
        <w:ind w:left="5760" w:hanging="360"/>
      </w:pPr>
      <w:rPr>
        <w:rFonts w:ascii="Times New Roman" w:hAnsi="Times New Roman" w:hint="default"/>
      </w:rPr>
    </w:lvl>
    <w:lvl w:ilvl="8" w:tplc="5C54876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C417CC7"/>
    <w:multiLevelType w:val="hybridMultilevel"/>
    <w:tmpl w:val="4A923D6A"/>
    <w:lvl w:ilvl="0" w:tplc="5C10683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C8F34CC"/>
    <w:multiLevelType w:val="hybridMultilevel"/>
    <w:tmpl w:val="10D630A6"/>
    <w:lvl w:ilvl="0" w:tplc="8B56D1D2">
      <w:numFmt w:val="bullet"/>
      <w:lvlText w:val="-"/>
      <w:lvlJc w:val="left"/>
      <w:pPr>
        <w:ind w:left="720" w:hanging="360"/>
      </w:pPr>
      <w:rPr>
        <w:rFonts w:ascii="Arial" w:eastAsia="Times New Roman" w:hAnsi="Arial" w:cs="Aria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C9019B"/>
    <w:multiLevelType w:val="multilevel"/>
    <w:tmpl w:val="240A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F02AF3"/>
    <w:multiLevelType w:val="hybridMultilevel"/>
    <w:tmpl w:val="67F8EFE0"/>
    <w:lvl w:ilvl="0" w:tplc="A322BC2A">
      <w:start w:val="1"/>
      <w:numFmt w:val="decimal"/>
      <w:lvlText w:val="%1."/>
      <w:lvlJc w:val="left"/>
      <w:pPr>
        <w:ind w:left="720" w:hanging="360"/>
      </w:pPr>
      <w:rPr>
        <w:rFonts w:hint="default"/>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9E6D1D"/>
    <w:multiLevelType w:val="multilevel"/>
    <w:tmpl w:val="9A6EF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2878F6"/>
    <w:multiLevelType w:val="hybridMultilevel"/>
    <w:tmpl w:val="791C9D1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AD7EEC"/>
    <w:multiLevelType w:val="hybridMultilevel"/>
    <w:tmpl w:val="F82C6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F83836"/>
    <w:multiLevelType w:val="hybridMultilevel"/>
    <w:tmpl w:val="41D286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FAF3592"/>
    <w:multiLevelType w:val="hybridMultilevel"/>
    <w:tmpl w:val="786C62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0A47B0"/>
    <w:multiLevelType w:val="hybridMultilevel"/>
    <w:tmpl w:val="F17CB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86D0C20"/>
    <w:multiLevelType w:val="hybridMultilevel"/>
    <w:tmpl w:val="7BA4D4CA"/>
    <w:lvl w:ilvl="0" w:tplc="22F0A81A">
      <w:start w:val="1"/>
      <w:numFmt w:val="decimal"/>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9865F0"/>
    <w:multiLevelType w:val="hybridMultilevel"/>
    <w:tmpl w:val="FF8AEA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635BC2"/>
    <w:multiLevelType w:val="hybridMultilevel"/>
    <w:tmpl w:val="BC9E7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4C2D23"/>
    <w:multiLevelType w:val="hybridMultilevel"/>
    <w:tmpl w:val="458A4962"/>
    <w:lvl w:ilvl="0" w:tplc="A978CD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AEA69C5"/>
    <w:multiLevelType w:val="hybridMultilevel"/>
    <w:tmpl w:val="E44E275A"/>
    <w:lvl w:ilvl="0" w:tplc="282A1AD6">
      <w:start w:val="1"/>
      <w:numFmt w:val="decimal"/>
      <w:lvlText w:val="%1."/>
      <w:lvlJc w:val="left"/>
      <w:pPr>
        <w:tabs>
          <w:tab w:val="num" w:pos="720"/>
        </w:tabs>
        <w:ind w:left="720" w:hanging="360"/>
      </w:pPr>
      <w:rPr>
        <w:rFonts w:ascii="Calibri" w:eastAsia="Calibri" w:hAnsi="Calibri"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BFE31BF"/>
    <w:multiLevelType w:val="hybridMultilevel"/>
    <w:tmpl w:val="56D225EC"/>
    <w:lvl w:ilvl="0" w:tplc="EE50FC54">
      <w:start w:val="1"/>
      <w:numFmt w:val="decimal"/>
      <w:pStyle w:val="Ttu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291CA2"/>
    <w:multiLevelType w:val="hybridMultilevel"/>
    <w:tmpl w:val="682A7C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5D9545C"/>
    <w:multiLevelType w:val="multilevel"/>
    <w:tmpl w:val="B43CF40C"/>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6"/>
  </w:num>
  <w:num w:numId="3">
    <w:abstractNumId w:val="25"/>
  </w:num>
  <w:num w:numId="4">
    <w:abstractNumId w:val="23"/>
  </w:num>
  <w:num w:numId="5">
    <w:abstractNumId w:val="20"/>
  </w:num>
  <w:num w:numId="6">
    <w:abstractNumId w:val="32"/>
  </w:num>
  <w:num w:numId="7">
    <w:abstractNumId w:val="29"/>
  </w:num>
  <w:num w:numId="8">
    <w:abstractNumId w:val="34"/>
  </w:num>
  <w:num w:numId="9">
    <w:abstractNumId w:val="21"/>
  </w:num>
  <w:num w:numId="10">
    <w:abstractNumId w:val="9"/>
  </w:num>
  <w:num w:numId="11">
    <w:abstractNumId w:val="13"/>
  </w:num>
  <w:num w:numId="12">
    <w:abstractNumId w:val="30"/>
  </w:num>
  <w:num w:numId="13">
    <w:abstractNumId w:val="22"/>
  </w:num>
  <w:num w:numId="14">
    <w:abstractNumId w:val="12"/>
  </w:num>
  <w:num w:numId="15">
    <w:abstractNumId w:val="16"/>
  </w:num>
  <w:num w:numId="16">
    <w:abstractNumId w:val="31"/>
  </w:num>
  <w:num w:numId="17">
    <w:abstractNumId w:val="6"/>
  </w:num>
  <w:num w:numId="18">
    <w:abstractNumId w:val="7"/>
  </w:num>
  <w:num w:numId="19">
    <w:abstractNumId w:val="8"/>
  </w:num>
  <w:num w:numId="20">
    <w:abstractNumId w:val="35"/>
  </w:num>
  <w:num w:numId="21">
    <w:abstractNumId w:val="4"/>
  </w:num>
  <w:num w:numId="22">
    <w:abstractNumId w:val="2"/>
  </w:num>
  <w:num w:numId="23">
    <w:abstractNumId w:val="3"/>
  </w:num>
  <w:num w:numId="24">
    <w:abstractNumId w:val="33"/>
  </w:num>
  <w:num w:numId="25">
    <w:abstractNumId w:val="28"/>
  </w:num>
  <w:num w:numId="26">
    <w:abstractNumId w:val="10"/>
  </w:num>
  <w:num w:numId="27">
    <w:abstractNumId w:val="14"/>
  </w:num>
  <w:num w:numId="28">
    <w:abstractNumId w:val="1"/>
  </w:num>
  <w:num w:numId="29">
    <w:abstractNumId w:val="27"/>
  </w:num>
  <w:num w:numId="30">
    <w:abstractNumId w:val="15"/>
  </w:num>
  <w:num w:numId="31">
    <w:abstractNumId w:val="11"/>
  </w:num>
  <w:num w:numId="32">
    <w:abstractNumId w:val="18"/>
  </w:num>
  <w:num w:numId="33">
    <w:abstractNumId w:val="5"/>
  </w:num>
  <w:num w:numId="34">
    <w:abstractNumId w:val="17"/>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85"/>
    <w:rsid w:val="0000293C"/>
    <w:rsid w:val="000045D9"/>
    <w:rsid w:val="00006F82"/>
    <w:rsid w:val="00010419"/>
    <w:rsid w:val="00022060"/>
    <w:rsid w:val="00025470"/>
    <w:rsid w:val="000276C6"/>
    <w:rsid w:val="000278E7"/>
    <w:rsid w:val="00032ACE"/>
    <w:rsid w:val="00035D4A"/>
    <w:rsid w:val="000402B7"/>
    <w:rsid w:val="0004130A"/>
    <w:rsid w:val="000428EF"/>
    <w:rsid w:val="00042C58"/>
    <w:rsid w:val="00046B3A"/>
    <w:rsid w:val="00050DA7"/>
    <w:rsid w:val="00052D33"/>
    <w:rsid w:val="0007467C"/>
    <w:rsid w:val="000B08DB"/>
    <w:rsid w:val="000B36BC"/>
    <w:rsid w:val="000B62EC"/>
    <w:rsid w:val="000B64BF"/>
    <w:rsid w:val="000C66D8"/>
    <w:rsid w:val="000D181A"/>
    <w:rsid w:val="000D4851"/>
    <w:rsid w:val="000E0FC1"/>
    <w:rsid w:val="000F4EA3"/>
    <w:rsid w:val="001010E4"/>
    <w:rsid w:val="001049BA"/>
    <w:rsid w:val="00104F6A"/>
    <w:rsid w:val="00106097"/>
    <w:rsid w:val="00111AE0"/>
    <w:rsid w:val="00122B06"/>
    <w:rsid w:val="001420B0"/>
    <w:rsid w:val="00146648"/>
    <w:rsid w:val="0015472D"/>
    <w:rsid w:val="0015523D"/>
    <w:rsid w:val="00161DCA"/>
    <w:rsid w:val="00181D13"/>
    <w:rsid w:val="001843AC"/>
    <w:rsid w:val="00186EF6"/>
    <w:rsid w:val="001A1254"/>
    <w:rsid w:val="001B1EE5"/>
    <w:rsid w:val="001B64D3"/>
    <w:rsid w:val="001C5F07"/>
    <w:rsid w:val="001D4016"/>
    <w:rsid w:val="001D5976"/>
    <w:rsid w:val="001E3563"/>
    <w:rsid w:val="001E694F"/>
    <w:rsid w:val="001F2BC1"/>
    <w:rsid w:val="001F6747"/>
    <w:rsid w:val="00211663"/>
    <w:rsid w:val="00211E67"/>
    <w:rsid w:val="00211ECD"/>
    <w:rsid w:val="00212A04"/>
    <w:rsid w:val="00216628"/>
    <w:rsid w:val="00217CC6"/>
    <w:rsid w:val="00220C72"/>
    <w:rsid w:val="002302A2"/>
    <w:rsid w:val="0023140D"/>
    <w:rsid w:val="0023215F"/>
    <w:rsid w:val="002341B1"/>
    <w:rsid w:val="002354FF"/>
    <w:rsid w:val="00244958"/>
    <w:rsid w:val="00255AB1"/>
    <w:rsid w:val="00256215"/>
    <w:rsid w:val="00286F73"/>
    <w:rsid w:val="002A119B"/>
    <w:rsid w:val="002A470D"/>
    <w:rsid w:val="002A5D0E"/>
    <w:rsid w:val="002C0958"/>
    <w:rsid w:val="002C33FC"/>
    <w:rsid w:val="002D142A"/>
    <w:rsid w:val="002D4369"/>
    <w:rsid w:val="002D4BE0"/>
    <w:rsid w:val="002D55AB"/>
    <w:rsid w:val="002E5111"/>
    <w:rsid w:val="002E55CD"/>
    <w:rsid w:val="002E5FAD"/>
    <w:rsid w:val="002F4233"/>
    <w:rsid w:val="002F4DBE"/>
    <w:rsid w:val="002F4E1B"/>
    <w:rsid w:val="00316960"/>
    <w:rsid w:val="00327557"/>
    <w:rsid w:val="003302C2"/>
    <w:rsid w:val="0033359D"/>
    <w:rsid w:val="00335B23"/>
    <w:rsid w:val="00337A94"/>
    <w:rsid w:val="00342B14"/>
    <w:rsid w:val="00343D7E"/>
    <w:rsid w:val="003510F9"/>
    <w:rsid w:val="0035178E"/>
    <w:rsid w:val="00370ACB"/>
    <w:rsid w:val="00371B8A"/>
    <w:rsid w:val="003759E3"/>
    <w:rsid w:val="00375E1B"/>
    <w:rsid w:val="00376DC1"/>
    <w:rsid w:val="003824B2"/>
    <w:rsid w:val="00383E50"/>
    <w:rsid w:val="00384EE7"/>
    <w:rsid w:val="00392DBE"/>
    <w:rsid w:val="003943F1"/>
    <w:rsid w:val="003A1173"/>
    <w:rsid w:val="003A336B"/>
    <w:rsid w:val="003A7F68"/>
    <w:rsid w:val="003B4E46"/>
    <w:rsid w:val="003B502D"/>
    <w:rsid w:val="003C0E07"/>
    <w:rsid w:val="003C1969"/>
    <w:rsid w:val="003C3D79"/>
    <w:rsid w:val="003C4A91"/>
    <w:rsid w:val="003E4E0A"/>
    <w:rsid w:val="003E5CC5"/>
    <w:rsid w:val="003E61D0"/>
    <w:rsid w:val="003E73E3"/>
    <w:rsid w:val="004140AD"/>
    <w:rsid w:val="00420B14"/>
    <w:rsid w:val="004224C4"/>
    <w:rsid w:val="004251DF"/>
    <w:rsid w:val="004262D9"/>
    <w:rsid w:val="00426AA1"/>
    <w:rsid w:val="00432A30"/>
    <w:rsid w:val="00440391"/>
    <w:rsid w:val="00442B51"/>
    <w:rsid w:val="004434E9"/>
    <w:rsid w:val="00444A3E"/>
    <w:rsid w:val="00453301"/>
    <w:rsid w:val="00455AFB"/>
    <w:rsid w:val="00461FAA"/>
    <w:rsid w:val="00463803"/>
    <w:rsid w:val="00473C51"/>
    <w:rsid w:val="004751FF"/>
    <w:rsid w:val="004803F5"/>
    <w:rsid w:val="00481ADC"/>
    <w:rsid w:val="004916B9"/>
    <w:rsid w:val="00493BAD"/>
    <w:rsid w:val="004953A2"/>
    <w:rsid w:val="004A68DA"/>
    <w:rsid w:val="004A7564"/>
    <w:rsid w:val="004B7180"/>
    <w:rsid w:val="004C0CEB"/>
    <w:rsid w:val="004D038E"/>
    <w:rsid w:val="004D14A5"/>
    <w:rsid w:val="004D6C65"/>
    <w:rsid w:val="004D7E7E"/>
    <w:rsid w:val="004E085E"/>
    <w:rsid w:val="004E115B"/>
    <w:rsid w:val="004E1B80"/>
    <w:rsid w:val="004F604F"/>
    <w:rsid w:val="005044CF"/>
    <w:rsid w:val="00505CEA"/>
    <w:rsid w:val="00511E93"/>
    <w:rsid w:val="005127BD"/>
    <w:rsid w:val="00512916"/>
    <w:rsid w:val="00513AD3"/>
    <w:rsid w:val="0052186E"/>
    <w:rsid w:val="00526303"/>
    <w:rsid w:val="005308FA"/>
    <w:rsid w:val="005337D6"/>
    <w:rsid w:val="00534B62"/>
    <w:rsid w:val="00553119"/>
    <w:rsid w:val="00561231"/>
    <w:rsid w:val="00564245"/>
    <w:rsid w:val="00567444"/>
    <w:rsid w:val="00572971"/>
    <w:rsid w:val="0058630C"/>
    <w:rsid w:val="005871C8"/>
    <w:rsid w:val="00590046"/>
    <w:rsid w:val="005914F6"/>
    <w:rsid w:val="005977ED"/>
    <w:rsid w:val="005A48CB"/>
    <w:rsid w:val="005A4DB4"/>
    <w:rsid w:val="005A4EAA"/>
    <w:rsid w:val="005A5B1D"/>
    <w:rsid w:val="005B0E69"/>
    <w:rsid w:val="005B5576"/>
    <w:rsid w:val="005B5F48"/>
    <w:rsid w:val="005B72E8"/>
    <w:rsid w:val="005B7A1E"/>
    <w:rsid w:val="005C0368"/>
    <w:rsid w:val="005C17D8"/>
    <w:rsid w:val="005D2990"/>
    <w:rsid w:val="005D3F59"/>
    <w:rsid w:val="005E44BF"/>
    <w:rsid w:val="005E61B0"/>
    <w:rsid w:val="005F2DB1"/>
    <w:rsid w:val="005F6E4D"/>
    <w:rsid w:val="006008F6"/>
    <w:rsid w:val="006013CE"/>
    <w:rsid w:val="00604CC6"/>
    <w:rsid w:val="006133D1"/>
    <w:rsid w:val="00626979"/>
    <w:rsid w:val="006306BF"/>
    <w:rsid w:val="00630FF4"/>
    <w:rsid w:val="00647951"/>
    <w:rsid w:val="0065226D"/>
    <w:rsid w:val="00652ECF"/>
    <w:rsid w:val="00653715"/>
    <w:rsid w:val="00654D4A"/>
    <w:rsid w:val="00676DC9"/>
    <w:rsid w:val="006822EE"/>
    <w:rsid w:val="0068251A"/>
    <w:rsid w:val="006829E2"/>
    <w:rsid w:val="006838BB"/>
    <w:rsid w:val="0068488C"/>
    <w:rsid w:val="00684B6B"/>
    <w:rsid w:val="00687E2F"/>
    <w:rsid w:val="006A7E4C"/>
    <w:rsid w:val="006B3195"/>
    <w:rsid w:val="006B368B"/>
    <w:rsid w:val="006B3C83"/>
    <w:rsid w:val="006C1A83"/>
    <w:rsid w:val="006C6A0B"/>
    <w:rsid w:val="006D0C80"/>
    <w:rsid w:val="006D1276"/>
    <w:rsid w:val="006D1321"/>
    <w:rsid w:val="006D3F15"/>
    <w:rsid w:val="006E215A"/>
    <w:rsid w:val="006E2306"/>
    <w:rsid w:val="006F2F5B"/>
    <w:rsid w:val="006F5EB3"/>
    <w:rsid w:val="00705D22"/>
    <w:rsid w:val="007079EE"/>
    <w:rsid w:val="00714712"/>
    <w:rsid w:val="00720847"/>
    <w:rsid w:val="0072109D"/>
    <w:rsid w:val="0072607D"/>
    <w:rsid w:val="00736162"/>
    <w:rsid w:val="007407E6"/>
    <w:rsid w:val="00740C6A"/>
    <w:rsid w:val="007447C0"/>
    <w:rsid w:val="00744C19"/>
    <w:rsid w:val="007457A0"/>
    <w:rsid w:val="00745979"/>
    <w:rsid w:val="00756432"/>
    <w:rsid w:val="00762508"/>
    <w:rsid w:val="007638AA"/>
    <w:rsid w:val="007760B7"/>
    <w:rsid w:val="007777F2"/>
    <w:rsid w:val="0078018C"/>
    <w:rsid w:val="007821C1"/>
    <w:rsid w:val="00784DFD"/>
    <w:rsid w:val="00792566"/>
    <w:rsid w:val="00796E95"/>
    <w:rsid w:val="007A06B4"/>
    <w:rsid w:val="007A4DBE"/>
    <w:rsid w:val="007A59A7"/>
    <w:rsid w:val="007A64E4"/>
    <w:rsid w:val="007A6A1B"/>
    <w:rsid w:val="007B3429"/>
    <w:rsid w:val="007B4B21"/>
    <w:rsid w:val="007B4D05"/>
    <w:rsid w:val="007C2A85"/>
    <w:rsid w:val="007C457B"/>
    <w:rsid w:val="007C4B0F"/>
    <w:rsid w:val="007D7C05"/>
    <w:rsid w:val="007E1364"/>
    <w:rsid w:val="007F63FA"/>
    <w:rsid w:val="00801F92"/>
    <w:rsid w:val="0080274F"/>
    <w:rsid w:val="00803AFD"/>
    <w:rsid w:val="0080660A"/>
    <w:rsid w:val="00822C69"/>
    <w:rsid w:val="008516E9"/>
    <w:rsid w:val="008623B8"/>
    <w:rsid w:val="008632D4"/>
    <w:rsid w:val="008679D4"/>
    <w:rsid w:val="00872B66"/>
    <w:rsid w:val="00873988"/>
    <w:rsid w:val="00874977"/>
    <w:rsid w:val="00874DAD"/>
    <w:rsid w:val="0088297A"/>
    <w:rsid w:val="008854E2"/>
    <w:rsid w:val="00885890"/>
    <w:rsid w:val="008932A6"/>
    <w:rsid w:val="00894EFE"/>
    <w:rsid w:val="008B2F55"/>
    <w:rsid w:val="008C0BD5"/>
    <w:rsid w:val="008C1E16"/>
    <w:rsid w:val="008C4D2B"/>
    <w:rsid w:val="008C650D"/>
    <w:rsid w:val="008D018E"/>
    <w:rsid w:val="008D1263"/>
    <w:rsid w:val="008D5AEF"/>
    <w:rsid w:val="008D6ED5"/>
    <w:rsid w:val="008F25A0"/>
    <w:rsid w:val="008F326E"/>
    <w:rsid w:val="008F491E"/>
    <w:rsid w:val="008F5DE3"/>
    <w:rsid w:val="00900A77"/>
    <w:rsid w:val="009014FA"/>
    <w:rsid w:val="00911E5A"/>
    <w:rsid w:val="00912E40"/>
    <w:rsid w:val="00916D5D"/>
    <w:rsid w:val="00916F3F"/>
    <w:rsid w:val="00932E91"/>
    <w:rsid w:val="00936744"/>
    <w:rsid w:val="00940B2E"/>
    <w:rsid w:val="00953895"/>
    <w:rsid w:val="00962C73"/>
    <w:rsid w:val="00963DB6"/>
    <w:rsid w:val="00966211"/>
    <w:rsid w:val="0098003D"/>
    <w:rsid w:val="009812EB"/>
    <w:rsid w:val="00985EEC"/>
    <w:rsid w:val="009900B6"/>
    <w:rsid w:val="00997ECF"/>
    <w:rsid w:val="009B055B"/>
    <w:rsid w:val="009C2D53"/>
    <w:rsid w:val="009C553A"/>
    <w:rsid w:val="009D0000"/>
    <w:rsid w:val="009D71BA"/>
    <w:rsid w:val="009E004B"/>
    <w:rsid w:val="009E1DB5"/>
    <w:rsid w:val="009F4942"/>
    <w:rsid w:val="00A019FC"/>
    <w:rsid w:val="00A2533C"/>
    <w:rsid w:val="00A27FC0"/>
    <w:rsid w:val="00A36202"/>
    <w:rsid w:val="00A3739B"/>
    <w:rsid w:val="00A5241F"/>
    <w:rsid w:val="00A53BC1"/>
    <w:rsid w:val="00A545B5"/>
    <w:rsid w:val="00A72441"/>
    <w:rsid w:val="00A75150"/>
    <w:rsid w:val="00A85BA7"/>
    <w:rsid w:val="00A87B24"/>
    <w:rsid w:val="00A93BC7"/>
    <w:rsid w:val="00AA7A4C"/>
    <w:rsid w:val="00AC75FB"/>
    <w:rsid w:val="00AD7088"/>
    <w:rsid w:val="00AE0150"/>
    <w:rsid w:val="00AE7CB4"/>
    <w:rsid w:val="00AF4E8B"/>
    <w:rsid w:val="00AF5B55"/>
    <w:rsid w:val="00B00EAE"/>
    <w:rsid w:val="00B115C3"/>
    <w:rsid w:val="00B164FA"/>
    <w:rsid w:val="00B26685"/>
    <w:rsid w:val="00B27E79"/>
    <w:rsid w:val="00B37730"/>
    <w:rsid w:val="00B42BB6"/>
    <w:rsid w:val="00B45326"/>
    <w:rsid w:val="00B46316"/>
    <w:rsid w:val="00B557A6"/>
    <w:rsid w:val="00B600F9"/>
    <w:rsid w:val="00B63BB4"/>
    <w:rsid w:val="00B64744"/>
    <w:rsid w:val="00B6757E"/>
    <w:rsid w:val="00B72CCC"/>
    <w:rsid w:val="00B94C48"/>
    <w:rsid w:val="00BB119D"/>
    <w:rsid w:val="00BB2093"/>
    <w:rsid w:val="00BB4D6F"/>
    <w:rsid w:val="00BC2047"/>
    <w:rsid w:val="00BC5FE7"/>
    <w:rsid w:val="00BD55E3"/>
    <w:rsid w:val="00BE08AD"/>
    <w:rsid w:val="00BE3130"/>
    <w:rsid w:val="00C03315"/>
    <w:rsid w:val="00C172FD"/>
    <w:rsid w:val="00C21E2F"/>
    <w:rsid w:val="00C2275F"/>
    <w:rsid w:val="00C236F2"/>
    <w:rsid w:val="00C27907"/>
    <w:rsid w:val="00C27DF9"/>
    <w:rsid w:val="00C3298A"/>
    <w:rsid w:val="00C60E7F"/>
    <w:rsid w:val="00C638CA"/>
    <w:rsid w:val="00C64F4B"/>
    <w:rsid w:val="00C673CC"/>
    <w:rsid w:val="00C704F1"/>
    <w:rsid w:val="00C746C0"/>
    <w:rsid w:val="00C83B4A"/>
    <w:rsid w:val="00C85588"/>
    <w:rsid w:val="00C8757C"/>
    <w:rsid w:val="00CB1D18"/>
    <w:rsid w:val="00CB35AE"/>
    <w:rsid w:val="00CC1658"/>
    <w:rsid w:val="00CC488C"/>
    <w:rsid w:val="00CC72C9"/>
    <w:rsid w:val="00CD790F"/>
    <w:rsid w:val="00CD7FAA"/>
    <w:rsid w:val="00CE0600"/>
    <w:rsid w:val="00CE608B"/>
    <w:rsid w:val="00CF30AC"/>
    <w:rsid w:val="00CF4F8C"/>
    <w:rsid w:val="00D00E29"/>
    <w:rsid w:val="00D04DB0"/>
    <w:rsid w:val="00D07DFA"/>
    <w:rsid w:val="00D135E7"/>
    <w:rsid w:val="00D1721F"/>
    <w:rsid w:val="00D20D90"/>
    <w:rsid w:val="00D222B0"/>
    <w:rsid w:val="00D311C6"/>
    <w:rsid w:val="00D37932"/>
    <w:rsid w:val="00D45B40"/>
    <w:rsid w:val="00D47D1A"/>
    <w:rsid w:val="00D619BB"/>
    <w:rsid w:val="00D651EF"/>
    <w:rsid w:val="00D70D55"/>
    <w:rsid w:val="00D7226B"/>
    <w:rsid w:val="00D75887"/>
    <w:rsid w:val="00D76379"/>
    <w:rsid w:val="00D806F9"/>
    <w:rsid w:val="00D8184E"/>
    <w:rsid w:val="00D92E34"/>
    <w:rsid w:val="00DA106D"/>
    <w:rsid w:val="00DA2F8A"/>
    <w:rsid w:val="00DA348C"/>
    <w:rsid w:val="00DC2841"/>
    <w:rsid w:val="00DC72BE"/>
    <w:rsid w:val="00DD13E8"/>
    <w:rsid w:val="00DD15EC"/>
    <w:rsid w:val="00DD71AC"/>
    <w:rsid w:val="00DE4159"/>
    <w:rsid w:val="00DE428A"/>
    <w:rsid w:val="00DE75A4"/>
    <w:rsid w:val="00DF2CC7"/>
    <w:rsid w:val="00DF437C"/>
    <w:rsid w:val="00E014C0"/>
    <w:rsid w:val="00E06ADE"/>
    <w:rsid w:val="00E100CB"/>
    <w:rsid w:val="00E10153"/>
    <w:rsid w:val="00E12868"/>
    <w:rsid w:val="00E252FF"/>
    <w:rsid w:val="00E3654E"/>
    <w:rsid w:val="00E564CA"/>
    <w:rsid w:val="00E626A6"/>
    <w:rsid w:val="00E769FC"/>
    <w:rsid w:val="00E812CD"/>
    <w:rsid w:val="00E91B8D"/>
    <w:rsid w:val="00E91D50"/>
    <w:rsid w:val="00EA60A3"/>
    <w:rsid w:val="00EB0B4C"/>
    <w:rsid w:val="00EB1E5C"/>
    <w:rsid w:val="00EB23D8"/>
    <w:rsid w:val="00EB3E33"/>
    <w:rsid w:val="00EC2F8A"/>
    <w:rsid w:val="00EC340F"/>
    <w:rsid w:val="00ED07B9"/>
    <w:rsid w:val="00EE3981"/>
    <w:rsid w:val="00EE47D6"/>
    <w:rsid w:val="00EE6F59"/>
    <w:rsid w:val="00EE7736"/>
    <w:rsid w:val="00EF53F9"/>
    <w:rsid w:val="00EF55A3"/>
    <w:rsid w:val="00EF6CEE"/>
    <w:rsid w:val="00F016B7"/>
    <w:rsid w:val="00F02404"/>
    <w:rsid w:val="00F11317"/>
    <w:rsid w:val="00F14857"/>
    <w:rsid w:val="00F15B33"/>
    <w:rsid w:val="00F20919"/>
    <w:rsid w:val="00F232E0"/>
    <w:rsid w:val="00F24AE0"/>
    <w:rsid w:val="00F25081"/>
    <w:rsid w:val="00F25C20"/>
    <w:rsid w:val="00F27B73"/>
    <w:rsid w:val="00F40141"/>
    <w:rsid w:val="00F4447B"/>
    <w:rsid w:val="00F5040F"/>
    <w:rsid w:val="00F55FD5"/>
    <w:rsid w:val="00F70E63"/>
    <w:rsid w:val="00F71D65"/>
    <w:rsid w:val="00F761BA"/>
    <w:rsid w:val="00F772E3"/>
    <w:rsid w:val="00F80B53"/>
    <w:rsid w:val="00F81DD3"/>
    <w:rsid w:val="00F82832"/>
    <w:rsid w:val="00FA1573"/>
    <w:rsid w:val="00FA7F52"/>
    <w:rsid w:val="00FC0962"/>
    <w:rsid w:val="00FC5C01"/>
    <w:rsid w:val="00FD2A08"/>
    <w:rsid w:val="00FE7C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97EE89"/>
  <w15:chartTrackingRefBased/>
  <w15:docId w15:val="{A8AEF20A-B3B6-43E5-BD1D-DFD5BB1B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paragraph" w:styleId="Ttulo1">
    <w:name w:val="heading 1"/>
    <w:basedOn w:val="Normal"/>
    <w:next w:val="Normal"/>
    <w:qFormat/>
    <w:rsid w:val="009F4942"/>
    <w:pPr>
      <w:keepNext/>
      <w:keepLines/>
      <w:numPr>
        <w:numId w:val="24"/>
      </w:numPr>
      <w:spacing w:after="0" w:line="240" w:lineRule="auto"/>
      <w:outlineLvl w:val="0"/>
    </w:pPr>
    <w:rPr>
      <w:rFonts w:ascii="Arial" w:eastAsia="Times New Roman" w:hAnsi="Arial" w:cs="Times New Roman"/>
      <w:b/>
      <w:bCs/>
      <w:sz w:val="20"/>
      <w:szCs w:val="28"/>
    </w:rPr>
  </w:style>
  <w:style w:type="paragraph" w:styleId="Ttulo2">
    <w:name w:val="heading 2"/>
    <w:basedOn w:val="Normal"/>
    <w:next w:val="Normal"/>
    <w:qFormat/>
    <w:rsid w:val="005B5576"/>
    <w:pPr>
      <w:keepNext/>
      <w:keepLines/>
      <w:numPr>
        <w:ilvl w:val="1"/>
        <w:numId w:val="1"/>
      </w:numPr>
      <w:spacing w:after="0" w:line="240" w:lineRule="auto"/>
      <w:outlineLvl w:val="1"/>
    </w:pPr>
    <w:rPr>
      <w:rFonts w:ascii="Arial" w:eastAsia="Times New Roman" w:hAnsi="Arial" w:cs="Times New Roman"/>
      <w:b/>
      <w:bCs/>
      <w:color w:val="000000"/>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cs="Times New Roman"/>
    </w:rPr>
  </w:style>
  <w:style w:type="character" w:customStyle="1" w:styleId="Fuentedeprrafopredeter1">
    <w:name w:val="Fuente de párrafo predeter.1"/>
  </w:style>
  <w:style w:type="character" w:customStyle="1" w:styleId="TextoindependienteCar">
    <w:name w:val="Texto independiente Car"/>
    <w:rPr>
      <w:rFonts w:ascii="Arial" w:hAnsi="Arial" w:cs="Arial"/>
      <w:sz w:val="20"/>
      <w:szCs w:val="20"/>
      <w:lang w:val="es-ES_tradnl"/>
    </w:rPr>
  </w:style>
  <w:style w:type="character" w:customStyle="1" w:styleId="TtuloCar">
    <w:name w:val="Título Car"/>
    <w:rPr>
      <w:rFonts w:ascii="Arial" w:hAnsi="Arial" w:cs="Arial"/>
      <w:b/>
      <w:bCs/>
      <w:sz w:val="20"/>
      <w:szCs w:val="20"/>
      <w:lang w:val="es-ES_tradnl"/>
    </w:rPr>
  </w:style>
  <w:style w:type="character" w:customStyle="1" w:styleId="TextodegloboCar">
    <w:name w:val="Texto de globo Car"/>
    <w:rPr>
      <w:rFonts w:ascii="Tahoma" w:hAnsi="Tahoma" w:cs="Tahoma"/>
      <w:sz w:val="16"/>
      <w:szCs w:val="16"/>
    </w:rPr>
  </w:style>
  <w:style w:type="character" w:customStyle="1" w:styleId="EncabezadoCar">
    <w:name w:val="Encabezado Car"/>
    <w:uiPriority w:val="99"/>
    <w:rPr>
      <w:rFonts w:ascii="Calibri" w:hAnsi="Calibri" w:cs="Calibri"/>
    </w:rPr>
  </w:style>
  <w:style w:type="character" w:customStyle="1" w:styleId="PiedepginaCar">
    <w:name w:val="Pie de página Car"/>
    <w:rPr>
      <w:rFonts w:ascii="Calibri" w:hAnsi="Calibri" w:cs="Calibri"/>
    </w:rPr>
  </w:style>
  <w:style w:type="character" w:customStyle="1" w:styleId="WW8Num7z1">
    <w:name w:val="WW8Num7z1"/>
    <w:rPr>
      <w:rFonts w:ascii="Courier New" w:hAnsi="Courier New"/>
    </w:rPr>
  </w:style>
  <w:style w:type="character" w:styleId="Hipervnculo">
    <w:name w:val="Hyperlink"/>
    <w:uiPriority w:val="99"/>
    <w:rPr>
      <w:rFonts w:cs="Times New Roman"/>
      <w:color w:val="0000FF"/>
      <w:u w:val="single"/>
    </w:rPr>
  </w:style>
  <w:style w:type="character" w:customStyle="1" w:styleId="TextonotapieCar">
    <w:name w:val="Texto nota pie Car"/>
    <w:aliases w:val="fn Car,footnote text Car,FOOTNOTES Car,single space Car,Char Char Car,Footnote Car,Car Car,Footnote Text Char Char Char Char Char Car,Footnote Text Char Char Char Char Car,Footnote reference Car,FA Fu Car,Footnote Text Char Car"/>
    <w:uiPriority w:val="99"/>
    <w:rPr>
      <w:rFonts w:ascii="Calibri" w:hAnsi="Calibri" w:cs="Calibri"/>
      <w:sz w:val="20"/>
      <w:szCs w:val="20"/>
    </w:rPr>
  </w:style>
  <w:style w:type="character" w:customStyle="1" w:styleId="Smbolodenotaalpie">
    <w:name w:val="Símbolo de nota al pie"/>
    <w:rPr>
      <w:rFonts w:cs="Times New Roman"/>
      <w:vertAlign w:val="superscript"/>
    </w:rPr>
  </w:style>
  <w:style w:type="character" w:customStyle="1" w:styleId="Ttulo1Car">
    <w:name w:val="Título 1 Car"/>
    <w:rPr>
      <w:rFonts w:ascii="Cambria" w:eastAsia="Times New Roman" w:hAnsi="Cambria" w:cs="Times New Roman"/>
      <w:b/>
      <w:bCs/>
      <w:color w:val="365F91"/>
      <w:sz w:val="28"/>
      <w:szCs w:val="28"/>
      <w:lang w:val="es-ES"/>
    </w:rPr>
  </w:style>
  <w:style w:type="character" w:customStyle="1" w:styleId="Ttulo2Car">
    <w:name w:val="Título 2 Car"/>
    <w:rPr>
      <w:rFonts w:ascii="Cambria" w:eastAsia="Times New Roman" w:hAnsi="Cambria" w:cs="Times New Roman"/>
      <w:b/>
      <w:bCs/>
      <w:color w:val="4F81BD"/>
      <w:sz w:val="26"/>
      <w:szCs w:val="26"/>
      <w:lang w:val="es-ES"/>
    </w:rPr>
  </w:style>
  <w:style w:type="character" w:customStyle="1" w:styleId="EncabezadodemensajeCar">
    <w:name w:val="Encabezado de mensaje Car"/>
    <w:rPr>
      <w:rFonts w:ascii="Cambria" w:eastAsia="Times New Roman" w:hAnsi="Cambria" w:cs="Times New Roman"/>
      <w:sz w:val="24"/>
      <w:szCs w:val="24"/>
      <w:shd w:val="clear" w:color="auto" w:fill="CCCCCC"/>
      <w:lang w:val="es-ES"/>
    </w:rPr>
  </w:style>
  <w:style w:type="character" w:customStyle="1" w:styleId="SubttuloCar">
    <w:name w:val="Subtítulo Car"/>
    <w:rPr>
      <w:rFonts w:ascii="Cambria" w:eastAsia="Times New Roman" w:hAnsi="Cambria" w:cs="Times New Roman"/>
      <w:i/>
      <w:iCs/>
      <w:color w:val="4F81BD"/>
      <w:spacing w:val="15"/>
      <w:sz w:val="24"/>
      <w:szCs w:val="24"/>
      <w:lang w:val="es-ES"/>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widowControl w:val="0"/>
      <w:spacing w:after="0" w:line="240" w:lineRule="auto"/>
      <w:jc w:val="both"/>
    </w:pPr>
    <w:rPr>
      <w:rFonts w:ascii="Arial" w:eastAsia="Times New Roman" w:hAnsi="Arial" w:cs="Arial"/>
      <w:lang w:val="es-ES_tradnl"/>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tulo">
    <w:name w:val="Title"/>
    <w:basedOn w:val="Normal"/>
    <w:next w:val="Subttulo"/>
    <w:qFormat/>
    <w:pPr>
      <w:widowControl w:val="0"/>
      <w:spacing w:after="0" w:line="240" w:lineRule="auto"/>
      <w:jc w:val="center"/>
    </w:pPr>
    <w:rPr>
      <w:rFonts w:ascii="Arial" w:eastAsia="Times New Roman" w:hAnsi="Arial" w:cs="Arial"/>
      <w:b/>
      <w:bCs/>
      <w:lang w:val="es-ES_tradnl"/>
    </w:rPr>
  </w:style>
  <w:style w:type="paragraph" w:styleId="Subttulo">
    <w:name w:val="Subtitle"/>
    <w:basedOn w:val="Normal"/>
    <w:next w:val="Normal"/>
    <w:qFormat/>
    <w:rPr>
      <w:rFonts w:ascii="Cambria" w:eastAsia="Times New Roman" w:hAnsi="Cambria" w:cs="Times New Roman"/>
      <w:i/>
      <w:iCs/>
      <w:color w:val="4F81BD"/>
      <w:spacing w:val="15"/>
      <w:sz w:val="24"/>
      <w:szCs w:val="24"/>
    </w:rPr>
  </w:style>
  <w:style w:type="paragraph" w:styleId="Textodeglobo">
    <w:name w:val="Balloon Text"/>
    <w:basedOn w:val="Normal"/>
    <w:pPr>
      <w:spacing w:after="0" w:line="240" w:lineRule="auto"/>
    </w:pPr>
    <w:rPr>
      <w:rFonts w:ascii="Tahoma" w:hAnsi="Tahoma" w:cs="Tahoma"/>
      <w:sz w:val="16"/>
      <w:szCs w:val="16"/>
    </w:rPr>
  </w:style>
  <w:style w:type="paragraph" w:styleId="Encabezado">
    <w:name w:val="header"/>
    <w:basedOn w:val="Normal"/>
    <w:uiPriority w:val="99"/>
    <w:pPr>
      <w:spacing w:after="0" w:line="240" w:lineRule="auto"/>
    </w:pPr>
  </w:style>
  <w:style w:type="paragraph" w:styleId="Piedepgina">
    <w:name w:val="footer"/>
    <w:basedOn w:val="Normal"/>
    <w:semiHidden/>
    <w:pPr>
      <w:spacing w:after="0" w:line="240" w:lineRule="auto"/>
    </w:pPr>
  </w:style>
  <w:style w:type="paragraph" w:styleId="Textonotapie">
    <w:name w:val="footnote text"/>
    <w:aliases w:val="fn,footnote text,FOOTNOTES,single space,Char Char,Footnote,Car,Footnote Text Char Char Char Char Char,Footnote Text Char Char Char Char,Footnote reference,FA Fu,Footnote Text Char Char Char,Footnote Text Char,texto de nota al pi"/>
    <w:basedOn w:val="Normal"/>
    <w:link w:val="TextonotapieCar1"/>
    <w:uiPriority w:val="99"/>
    <w:rsid w:val="00D135E7"/>
    <w:pPr>
      <w:spacing w:after="0" w:line="240" w:lineRule="auto"/>
    </w:pPr>
    <w:rPr>
      <w:rFonts w:ascii="Arial" w:hAnsi="Arial"/>
      <w:sz w:val="16"/>
      <w:szCs w:val="20"/>
    </w:rPr>
  </w:style>
  <w:style w:type="character" w:customStyle="1" w:styleId="TextonotapieCar1">
    <w:name w:val="Texto nota pie Car1"/>
    <w:aliases w:val="fn Car1,footnote text Car1,FOOTNOTES Car1,single space Car1,Char Char Car1,Footnote Car1,Car Car1,Footnote Text Char Char Char Char Char Car1,Footnote Text Char Char Char Char Car1,Footnote reference Car1,FA Fu Car1"/>
    <w:link w:val="Textonotapie"/>
    <w:uiPriority w:val="99"/>
    <w:rsid w:val="00F232E0"/>
    <w:rPr>
      <w:rFonts w:ascii="Arial" w:eastAsia="Calibri" w:hAnsi="Arial" w:cs="Calibri"/>
      <w:sz w:val="16"/>
      <w:lang w:val="es-ES" w:eastAsia="ar-SA"/>
    </w:rPr>
  </w:style>
  <w:style w:type="paragraph" w:customStyle="1" w:styleId="CharCharCharChar">
    <w:name w:val="Char Char Char Char"/>
    <w:basedOn w:val="Normal"/>
    <w:pPr>
      <w:spacing w:after="160" w:line="240" w:lineRule="exact"/>
    </w:pPr>
    <w:rPr>
      <w:rFonts w:ascii="Verdana" w:eastAsia="Times New Roman" w:hAnsi="Verdana" w:cs="Times New Roman"/>
      <w:sz w:val="20"/>
      <w:szCs w:val="20"/>
      <w:lang w:val="en-US"/>
    </w:rPr>
  </w:style>
  <w:style w:type="paragraph" w:customStyle="1" w:styleId="Encabezadodemensaje1">
    <w:name w:val="Encabezado de mensaje1"/>
    <w:basedOn w:val="Normal"/>
    <w:pPr>
      <w:shd w:val="clear" w:color="auto" w:fill="CCCCCC"/>
      <w:spacing w:after="0" w:line="240" w:lineRule="auto"/>
      <w:ind w:left="1134" w:hanging="1134"/>
    </w:pPr>
    <w:rPr>
      <w:rFonts w:ascii="Cambria" w:eastAsia="Times New Roman" w:hAnsi="Cambria" w:cs="Times New Roman"/>
      <w:sz w:val="24"/>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Refdenotaalpie">
    <w:name w:val="footnote reference"/>
    <w:aliases w:val="referencia nota al pie,Texto de nota al pie,Texto nota al pie"/>
    <w:uiPriority w:val="99"/>
    <w:unhideWhenUsed/>
    <w:rsid w:val="00567444"/>
    <w:rPr>
      <w:vertAlign w:val="superscript"/>
    </w:rPr>
  </w:style>
  <w:style w:type="paragraph" w:styleId="Sinespaciado">
    <w:name w:val="No Spacing"/>
    <w:uiPriority w:val="1"/>
    <w:qFormat/>
    <w:rsid w:val="00F25081"/>
    <w:pPr>
      <w:suppressAutoHyphens/>
    </w:pPr>
    <w:rPr>
      <w:rFonts w:ascii="Calibri" w:eastAsia="Calibri" w:hAnsi="Calibri" w:cs="Calibri"/>
      <w:sz w:val="22"/>
      <w:szCs w:val="22"/>
      <w:lang w:val="es-ES" w:eastAsia="ar-SA"/>
    </w:rPr>
  </w:style>
  <w:style w:type="paragraph" w:styleId="Descripcin">
    <w:name w:val="caption"/>
    <w:aliases w:val="Epígrafe,Tabla,Tablas"/>
    <w:basedOn w:val="Normal"/>
    <w:next w:val="Normal"/>
    <w:link w:val="DescripcinCar"/>
    <w:unhideWhenUsed/>
    <w:qFormat/>
    <w:rsid w:val="00F25081"/>
    <w:rPr>
      <w:b/>
      <w:bCs/>
      <w:sz w:val="20"/>
      <w:szCs w:val="20"/>
    </w:rPr>
  </w:style>
  <w:style w:type="character" w:customStyle="1" w:styleId="DescripcinCar">
    <w:name w:val="Descripción Car"/>
    <w:aliases w:val="Epígrafe Car,Tabla Car,Tablas Car"/>
    <w:link w:val="Descripcin"/>
    <w:uiPriority w:val="35"/>
    <w:locked/>
    <w:rsid w:val="000B36BC"/>
    <w:rPr>
      <w:rFonts w:ascii="Calibri" w:eastAsia="Calibri" w:hAnsi="Calibri" w:cs="Calibri"/>
      <w:b/>
      <w:bCs/>
      <w:lang w:val="es-ES" w:eastAsia="ar-SA"/>
    </w:rPr>
  </w:style>
  <w:style w:type="paragraph" w:styleId="Prrafodelista">
    <w:name w:val="List Paragraph"/>
    <w:basedOn w:val="Normal"/>
    <w:uiPriority w:val="34"/>
    <w:qFormat/>
    <w:rsid w:val="00375E1B"/>
    <w:pPr>
      <w:ind w:left="708"/>
    </w:pPr>
  </w:style>
  <w:style w:type="table" w:styleId="Sombreadomedio1">
    <w:name w:val="Medium Shading 1"/>
    <w:basedOn w:val="Tablanormal"/>
    <w:uiPriority w:val="63"/>
    <w:rsid w:val="004D038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extonotaalfinal">
    <w:name w:val="endnote text"/>
    <w:basedOn w:val="Normal"/>
    <w:link w:val="TextonotaalfinalCar"/>
    <w:uiPriority w:val="99"/>
    <w:semiHidden/>
    <w:unhideWhenUsed/>
    <w:rsid w:val="00CD7FAA"/>
    <w:rPr>
      <w:sz w:val="20"/>
      <w:szCs w:val="20"/>
    </w:rPr>
  </w:style>
  <w:style w:type="character" w:customStyle="1" w:styleId="TextonotaalfinalCar">
    <w:name w:val="Texto nota al final Car"/>
    <w:link w:val="Textonotaalfinal"/>
    <w:uiPriority w:val="99"/>
    <w:semiHidden/>
    <w:rsid w:val="00CD7FAA"/>
    <w:rPr>
      <w:rFonts w:ascii="Calibri" w:eastAsia="Calibri" w:hAnsi="Calibri" w:cs="Calibri"/>
      <w:lang w:val="es-ES" w:eastAsia="ar-SA"/>
    </w:rPr>
  </w:style>
  <w:style w:type="character" w:styleId="Refdenotaalfinal">
    <w:name w:val="endnote reference"/>
    <w:uiPriority w:val="99"/>
    <w:semiHidden/>
    <w:unhideWhenUsed/>
    <w:rsid w:val="00CD7FAA"/>
    <w:rPr>
      <w:vertAlign w:val="superscript"/>
    </w:rPr>
  </w:style>
  <w:style w:type="paragraph" w:styleId="TDC1">
    <w:name w:val="toc 1"/>
    <w:basedOn w:val="Normal"/>
    <w:next w:val="Normal"/>
    <w:autoRedefine/>
    <w:uiPriority w:val="39"/>
    <w:unhideWhenUsed/>
    <w:qFormat/>
    <w:rsid w:val="006C6A0B"/>
    <w:pPr>
      <w:tabs>
        <w:tab w:val="left" w:pos="440"/>
        <w:tab w:val="right" w:leader="dot" w:pos="8828"/>
      </w:tabs>
      <w:suppressAutoHyphens w:val="0"/>
      <w:spacing w:after="0" w:line="360" w:lineRule="auto"/>
    </w:pPr>
    <w:rPr>
      <w:rFonts w:ascii="Arial" w:hAnsi="Arial" w:cs="Arial"/>
      <w:b/>
      <w:bCs/>
      <w:i/>
      <w:iCs/>
      <w:noProof/>
      <w:sz w:val="20"/>
      <w:szCs w:val="20"/>
    </w:rPr>
  </w:style>
  <w:style w:type="paragraph" w:styleId="TDC2">
    <w:name w:val="toc 2"/>
    <w:basedOn w:val="Normal"/>
    <w:next w:val="Normal"/>
    <w:autoRedefine/>
    <w:uiPriority w:val="39"/>
    <w:unhideWhenUsed/>
    <w:qFormat/>
    <w:rsid w:val="003B4E46"/>
    <w:pPr>
      <w:suppressAutoHyphens w:val="0"/>
      <w:spacing w:before="120" w:after="0" w:line="240" w:lineRule="auto"/>
      <w:ind w:left="220"/>
    </w:pPr>
    <w:rPr>
      <w:b/>
      <w:bCs/>
    </w:rPr>
  </w:style>
  <w:style w:type="paragraph" w:styleId="TDC3">
    <w:name w:val="toc 3"/>
    <w:basedOn w:val="Normal"/>
    <w:next w:val="Normal"/>
    <w:autoRedefine/>
    <w:uiPriority w:val="39"/>
    <w:unhideWhenUsed/>
    <w:qFormat/>
    <w:rsid w:val="00444A3E"/>
    <w:pPr>
      <w:tabs>
        <w:tab w:val="right" w:leader="dot" w:pos="8828"/>
      </w:tabs>
      <w:suppressAutoHyphens w:val="0"/>
      <w:spacing w:after="0" w:line="360" w:lineRule="auto"/>
    </w:pPr>
    <w:rPr>
      <w:rFonts w:ascii="Arial" w:hAnsi="Arial" w:cs="Arial"/>
      <w:b/>
      <w:sz w:val="20"/>
      <w:szCs w:val="20"/>
    </w:rPr>
  </w:style>
  <w:style w:type="table" w:styleId="Sombreadoclaro">
    <w:name w:val="Light Shading"/>
    <w:basedOn w:val="Tablanormal"/>
    <w:uiPriority w:val="60"/>
    <w:rsid w:val="00C27DF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ario">
    <w:name w:val="annotation reference"/>
    <w:uiPriority w:val="99"/>
    <w:semiHidden/>
    <w:unhideWhenUsed/>
    <w:rsid w:val="002D55AB"/>
    <w:rPr>
      <w:sz w:val="16"/>
      <w:szCs w:val="16"/>
    </w:rPr>
  </w:style>
  <w:style w:type="paragraph" w:styleId="Textocomentario">
    <w:name w:val="annotation text"/>
    <w:basedOn w:val="Normal"/>
    <w:link w:val="TextocomentarioCar"/>
    <w:uiPriority w:val="99"/>
    <w:unhideWhenUsed/>
    <w:rsid w:val="002D55AB"/>
    <w:rPr>
      <w:sz w:val="20"/>
      <w:szCs w:val="20"/>
    </w:rPr>
  </w:style>
  <w:style w:type="character" w:customStyle="1" w:styleId="TextocomentarioCar">
    <w:name w:val="Texto comentario Car"/>
    <w:link w:val="Textocomentario"/>
    <w:uiPriority w:val="99"/>
    <w:rsid w:val="002D55AB"/>
    <w:rPr>
      <w:rFonts w:ascii="Calibri" w:eastAsia="Calibri" w:hAnsi="Calibri" w:cs="Calibri"/>
      <w:lang w:val="es-ES" w:eastAsia="ar-SA"/>
    </w:rPr>
  </w:style>
  <w:style w:type="paragraph" w:styleId="Asuntodelcomentario">
    <w:name w:val="annotation subject"/>
    <w:basedOn w:val="Textocomentario"/>
    <w:next w:val="Textocomentario"/>
    <w:link w:val="AsuntodelcomentarioCar"/>
    <w:uiPriority w:val="99"/>
    <w:semiHidden/>
    <w:unhideWhenUsed/>
    <w:rsid w:val="002D55AB"/>
    <w:rPr>
      <w:b/>
      <w:bCs/>
    </w:rPr>
  </w:style>
  <w:style w:type="character" w:customStyle="1" w:styleId="AsuntodelcomentarioCar">
    <w:name w:val="Asunto del comentario Car"/>
    <w:link w:val="Asuntodelcomentario"/>
    <w:uiPriority w:val="99"/>
    <w:semiHidden/>
    <w:rsid w:val="002D55AB"/>
    <w:rPr>
      <w:rFonts w:ascii="Calibri" w:eastAsia="Calibri" w:hAnsi="Calibri" w:cs="Calibri"/>
      <w:b/>
      <w:bCs/>
      <w:lang w:val="es-ES" w:eastAsia="ar-SA"/>
    </w:rPr>
  </w:style>
  <w:style w:type="paragraph" w:styleId="Revisin">
    <w:name w:val="Revision"/>
    <w:hidden/>
    <w:uiPriority w:val="99"/>
    <w:semiHidden/>
    <w:rsid w:val="002D55AB"/>
    <w:rPr>
      <w:rFonts w:ascii="Calibri" w:eastAsia="Calibri" w:hAnsi="Calibri" w:cs="Calibri"/>
      <w:sz w:val="22"/>
      <w:szCs w:val="22"/>
      <w:lang w:val="es-ES" w:eastAsia="ar-SA"/>
    </w:rPr>
  </w:style>
  <w:style w:type="paragraph" w:customStyle="1" w:styleId="Default">
    <w:name w:val="Default"/>
    <w:rsid w:val="004251DF"/>
    <w:pPr>
      <w:autoSpaceDE w:val="0"/>
      <w:autoSpaceDN w:val="0"/>
      <w:adjustRightInd w:val="0"/>
    </w:pPr>
    <w:rPr>
      <w:rFonts w:ascii="Arial" w:hAnsi="Arial" w:cs="Arial"/>
      <w:color w:val="000000"/>
      <w:sz w:val="24"/>
      <w:szCs w:val="24"/>
    </w:rPr>
  </w:style>
  <w:style w:type="table" w:styleId="Tabladecuadrcula4-nfasis1">
    <w:name w:val="Grid Table 4 Accent 1"/>
    <w:basedOn w:val="Tablanormal"/>
    <w:uiPriority w:val="49"/>
    <w:rsid w:val="00C704F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4-nfasis5">
    <w:name w:val="Grid Table 4 Accent 5"/>
    <w:basedOn w:val="Tablanormal"/>
    <w:uiPriority w:val="49"/>
    <w:rsid w:val="00C704F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Cuadrculamedia3-nfasis1">
    <w:name w:val="Medium Grid 3 Accent 1"/>
    <w:basedOn w:val="Tablanormal"/>
    <w:uiPriority w:val="69"/>
    <w:rsid w:val="00C704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a">
    <w:basedOn w:val="Normal"/>
    <w:next w:val="Normal"/>
    <w:uiPriority w:val="35"/>
    <w:unhideWhenUsed/>
    <w:qFormat/>
    <w:rsid w:val="00FC5C01"/>
    <w:rPr>
      <w:b/>
      <w:bCs/>
      <w:sz w:val="20"/>
      <w:szCs w:val="20"/>
    </w:rPr>
  </w:style>
  <w:style w:type="character" w:styleId="Hipervnculovisitado">
    <w:name w:val="FollowedHyperlink"/>
    <w:uiPriority w:val="99"/>
    <w:semiHidden/>
    <w:unhideWhenUsed/>
    <w:rsid w:val="00DE75A4"/>
    <w:rPr>
      <w:color w:val="800080"/>
      <w:u w:val="single"/>
    </w:rPr>
  </w:style>
  <w:style w:type="paragraph" w:customStyle="1" w:styleId="Epgrafe1">
    <w:name w:val="Epígrafe1"/>
    <w:basedOn w:val="Normal"/>
    <w:next w:val="Normal"/>
    <w:unhideWhenUsed/>
    <w:qFormat/>
    <w:rsid w:val="005B72E8"/>
    <w:rPr>
      <w:b/>
      <w:bCs/>
      <w:sz w:val="20"/>
      <w:szCs w:val="20"/>
    </w:rPr>
  </w:style>
  <w:style w:type="table" w:styleId="Tablaconcuadrcula">
    <w:name w:val="Table Grid"/>
    <w:basedOn w:val="Tablanormal"/>
    <w:uiPriority w:val="39"/>
    <w:rsid w:val="00420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714712"/>
    <w:pPr>
      <w:widowControl w:val="0"/>
      <w:spacing w:after="0" w:line="240" w:lineRule="auto"/>
      <w:jc w:val="both"/>
    </w:pPr>
    <w:rPr>
      <w:rFonts w:ascii="Arial" w:eastAsia="Times New Roman" w:hAnsi="Arial" w:cs="Times New Roman"/>
      <w:szCs w:val="20"/>
      <w:lang w:val="es-ES_tradnl"/>
    </w:rPr>
  </w:style>
  <w:style w:type="paragraph" w:styleId="Textoindependiente2">
    <w:name w:val="Body Text 2"/>
    <w:basedOn w:val="Normal"/>
    <w:link w:val="Textoindependiente2Car"/>
    <w:uiPriority w:val="99"/>
    <w:semiHidden/>
    <w:unhideWhenUsed/>
    <w:rsid w:val="0015472D"/>
    <w:pPr>
      <w:spacing w:after="120" w:line="480" w:lineRule="auto"/>
    </w:pPr>
  </w:style>
  <w:style w:type="character" w:customStyle="1" w:styleId="Textoindependiente2Car">
    <w:name w:val="Texto independiente 2 Car"/>
    <w:link w:val="Textoindependiente2"/>
    <w:uiPriority w:val="99"/>
    <w:semiHidden/>
    <w:rsid w:val="0015472D"/>
    <w:rPr>
      <w:rFonts w:ascii="Calibri" w:eastAsia="Calibri" w:hAnsi="Calibri" w:cs="Calibri"/>
      <w:sz w:val="22"/>
      <w:szCs w:val="22"/>
      <w:lang w:val="es-ES" w:eastAsia="ar-SA"/>
    </w:rPr>
  </w:style>
  <w:style w:type="paragraph" w:customStyle="1" w:styleId="msonormal0">
    <w:name w:val="msonormal"/>
    <w:basedOn w:val="Normal"/>
    <w:rsid w:val="00B72CCC"/>
    <w:pPr>
      <w:suppressAutoHyphens w:val="0"/>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nt5">
    <w:name w:val="font5"/>
    <w:basedOn w:val="Normal"/>
    <w:rsid w:val="00B72CCC"/>
    <w:pPr>
      <w:suppressAutoHyphens w:val="0"/>
      <w:spacing w:before="100" w:beforeAutospacing="1" w:after="100" w:afterAutospacing="1" w:line="240" w:lineRule="auto"/>
    </w:pPr>
    <w:rPr>
      <w:rFonts w:ascii="Tahoma" w:eastAsia="Times New Roman" w:hAnsi="Tahoma" w:cs="Tahoma"/>
      <w:b/>
      <w:bCs/>
      <w:color w:val="000000"/>
      <w:sz w:val="18"/>
      <w:szCs w:val="18"/>
      <w:lang w:val="es-CO" w:eastAsia="es-CO"/>
    </w:rPr>
  </w:style>
  <w:style w:type="paragraph" w:customStyle="1" w:styleId="font6">
    <w:name w:val="font6"/>
    <w:basedOn w:val="Normal"/>
    <w:rsid w:val="00B72CCC"/>
    <w:pPr>
      <w:suppressAutoHyphens w:val="0"/>
      <w:spacing w:before="100" w:beforeAutospacing="1" w:after="100" w:afterAutospacing="1" w:line="240" w:lineRule="auto"/>
    </w:pPr>
    <w:rPr>
      <w:rFonts w:ascii="Tahoma" w:eastAsia="Times New Roman" w:hAnsi="Tahoma" w:cs="Tahoma"/>
      <w:color w:val="000000"/>
      <w:sz w:val="18"/>
      <w:szCs w:val="18"/>
      <w:lang w:val="es-CO" w:eastAsia="es-CO"/>
    </w:rPr>
  </w:style>
  <w:style w:type="paragraph" w:customStyle="1" w:styleId="xl65">
    <w:name w:val="xl65"/>
    <w:basedOn w:val="Normal"/>
    <w:rsid w:val="00B72CCC"/>
    <w:pPr>
      <w:pBdr>
        <w:top w:val="single" w:sz="4" w:space="0" w:color="auto"/>
        <w:left w:val="single" w:sz="4" w:space="0" w:color="auto"/>
        <w:bottom w:val="single" w:sz="4" w:space="0" w:color="auto"/>
        <w:right w:val="single" w:sz="4" w:space="0" w:color="auto"/>
      </w:pBdr>
      <w:shd w:val="clear" w:color="9999FF" w:fill="BFBFBF"/>
      <w:suppressAutoHyphens w:val="0"/>
      <w:spacing w:before="100" w:beforeAutospacing="1" w:after="100" w:afterAutospacing="1" w:line="240" w:lineRule="auto"/>
      <w:jc w:val="center"/>
      <w:textAlignment w:val="center"/>
    </w:pPr>
    <w:rPr>
      <w:rFonts w:ascii="Arial" w:eastAsia="Times New Roman" w:hAnsi="Arial" w:cs="Arial"/>
      <w:b/>
      <w:bCs/>
      <w:sz w:val="24"/>
      <w:szCs w:val="24"/>
      <w:lang w:val="es-CO" w:eastAsia="es-CO"/>
    </w:rPr>
  </w:style>
  <w:style w:type="paragraph" w:customStyle="1" w:styleId="xl66">
    <w:name w:val="xl66"/>
    <w:basedOn w:val="Normal"/>
    <w:rsid w:val="00B72CC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both"/>
    </w:pPr>
    <w:rPr>
      <w:rFonts w:ascii="Times New Roman" w:eastAsia="Times New Roman" w:hAnsi="Times New Roman" w:cs="Times New Roman"/>
      <w:b/>
      <w:bCs/>
      <w:sz w:val="24"/>
      <w:szCs w:val="24"/>
      <w:lang w:val="es-CO" w:eastAsia="es-CO"/>
    </w:rPr>
  </w:style>
  <w:style w:type="paragraph" w:customStyle="1" w:styleId="xl67">
    <w:name w:val="xl67"/>
    <w:basedOn w:val="Normal"/>
    <w:rsid w:val="00B7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Times New Roman" w:eastAsia="Times New Roman" w:hAnsi="Times New Roman" w:cs="Times New Roman"/>
      <w:sz w:val="24"/>
      <w:szCs w:val="24"/>
      <w:lang w:val="es-CO" w:eastAsia="es-CO"/>
    </w:rPr>
  </w:style>
  <w:style w:type="paragraph" w:customStyle="1" w:styleId="xl68">
    <w:name w:val="xl68"/>
    <w:basedOn w:val="Normal"/>
    <w:rsid w:val="00B7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Times New Roman" w:eastAsia="Times New Roman" w:hAnsi="Times New Roman" w:cs="Times New Roman"/>
      <w:sz w:val="24"/>
      <w:szCs w:val="24"/>
      <w:lang w:val="es-CO" w:eastAsia="es-CO"/>
    </w:rPr>
  </w:style>
  <w:style w:type="paragraph" w:customStyle="1" w:styleId="xl69">
    <w:name w:val="xl69"/>
    <w:basedOn w:val="Normal"/>
    <w:rsid w:val="00B72CC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both"/>
    </w:pPr>
    <w:rPr>
      <w:rFonts w:ascii="Times New Roman" w:eastAsia="Times New Roman" w:hAnsi="Times New Roman" w:cs="Times New Roman"/>
      <w:b/>
      <w:bCs/>
      <w:sz w:val="24"/>
      <w:szCs w:val="24"/>
      <w:lang w:val="es-CO" w:eastAsia="es-CO"/>
    </w:rPr>
  </w:style>
  <w:style w:type="paragraph" w:customStyle="1" w:styleId="xl70">
    <w:name w:val="xl70"/>
    <w:basedOn w:val="Normal"/>
    <w:rsid w:val="00B72CCC"/>
    <w:pPr>
      <w:suppressAutoHyphens w:val="0"/>
      <w:spacing w:before="100" w:beforeAutospacing="1" w:after="100" w:afterAutospacing="1" w:line="240" w:lineRule="auto"/>
      <w:jc w:val="both"/>
    </w:pPr>
    <w:rPr>
      <w:rFonts w:ascii="Times New Roman" w:eastAsia="Times New Roman" w:hAnsi="Times New Roman" w:cs="Times New Roman"/>
      <w:sz w:val="24"/>
      <w:szCs w:val="24"/>
      <w:lang w:val="es-CO" w:eastAsia="es-CO"/>
    </w:rPr>
  </w:style>
  <w:style w:type="paragraph" w:styleId="TtuloTDC">
    <w:name w:val="TOC Heading"/>
    <w:basedOn w:val="Ttulo1"/>
    <w:next w:val="Normal"/>
    <w:uiPriority w:val="39"/>
    <w:unhideWhenUsed/>
    <w:qFormat/>
    <w:rsid w:val="00572971"/>
    <w:pPr>
      <w:numPr>
        <w:numId w:val="0"/>
      </w:numPr>
      <w:suppressAutoHyphens w:val="0"/>
      <w:spacing w:before="240" w:line="259" w:lineRule="auto"/>
      <w:outlineLvl w:val="9"/>
    </w:pPr>
    <w:rPr>
      <w:rFonts w:ascii="Calibri Light" w:hAnsi="Calibri Light"/>
      <w:b w:val="0"/>
      <w:bCs w:val="0"/>
      <w:color w:val="2E74B5"/>
      <w:sz w:val="32"/>
      <w:szCs w:val="32"/>
      <w:lang w:val="es-CO" w:eastAsia="es-CO"/>
    </w:rPr>
  </w:style>
  <w:style w:type="character" w:styleId="DefinicinHTML">
    <w:name w:val="HTML Definition"/>
    <w:uiPriority w:val="99"/>
    <w:semiHidden/>
    <w:unhideWhenUsed/>
    <w:rsid w:val="000D4851"/>
    <w:rPr>
      <w:i/>
      <w:iCs/>
    </w:rPr>
  </w:style>
  <w:style w:type="paragraph" w:customStyle="1" w:styleId="Textoindependiente21">
    <w:name w:val="Texto independiente 21"/>
    <w:basedOn w:val="Normal"/>
    <w:rsid w:val="000045D9"/>
    <w:pPr>
      <w:widowControl w:val="0"/>
      <w:tabs>
        <w:tab w:val="left" w:pos="-720"/>
      </w:tabs>
      <w:suppressAutoHyphens w:val="0"/>
      <w:spacing w:after="0" w:line="240" w:lineRule="auto"/>
      <w:jc w:val="both"/>
    </w:pPr>
    <w:rPr>
      <w:rFonts w:ascii="Arial" w:eastAsia="Times New Roman" w:hAnsi="Arial" w:cs="Times New Roman"/>
      <w:sz w:val="24"/>
      <w:szCs w:val="20"/>
      <w:lang w:val="es-ES_tradnl" w:eastAsia="es-ES"/>
    </w:rPr>
  </w:style>
  <w:style w:type="paragraph" w:styleId="Tabladeilustraciones">
    <w:name w:val="table of figures"/>
    <w:basedOn w:val="Normal"/>
    <w:next w:val="Normal"/>
    <w:uiPriority w:val="99"/>
    <w:unhideWhenUsed/>
    <w:rsid w:val="00E626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464">
      <w:bodyDiv w:val="1"/>
      <w:marLeft w:val="0"/>
      <w:marRight w:val="0"/>
      <w:marTop w:val="0"/>
      <w:marBottom w:val="0"/>
      <w:divBdr>
        <w:top w:val="none" w:sz="0" w:space="0" w:color="auto"/>
        <w:left w:val="none" w:sz="0" w:space="0" w:color="auto"/>
        <w:bottom w:val="none" w:sz="0" w:space="0" w:color="auto"/>
        <w:right w:val="none" w:sz="0" w:space="0" w:color="auto"/>
      </w:divBdr>
    </w:div>
    <w:div w:id="190920919">
      <w:bodyDiv w:val="1"/>
      <w:marLeft w:val="0"/>
      <w:marRight w:val="0"/>
      <w:marTop w:val="0"/>
      <w:marBottom w:val="0"/>
      <w:divBdr>
        <w:top w:val="none" w:sz="0" w:space="0" w:color="auto"/>
        <w:left w:val="none" w:sz="0" w:space="0" w:color="auto"/>
        <w:bottom w:val="none" w:sz="0" w:space="0" w:color="auto"/>
        <w:right w:val="none" w:sz="0" w:space="0" w:color="auto"/>
      </w:divBdr>
      <w:divsChild>
        <w:div w:id="481310247">
          <w:marLeft w:val="547"/>
          <w:marRight w:val="0"/>
          <w:marTop w:val="74"/>
          <w:marBottom w:val="0"/>
          <w:divBdr>
            <w:top w:val="none" w:sz="0" w:space="0" w:color="auto"/>
            <w:left w:val="none" w:sz="0" w:space="0" w:color="auto"/>
            <w:bottom w:val="none" w:sz="0" w:space="0" w:color="auto"/>
            <w:right w:val="none" w:sz="0" w:space="0" w:color="auto"/>
          </w:divBdr>
        </w:div>
      </w:divsChild>
    </w:div>
    <w:div w:id="197162412">
      <w:bodyDiv w:val="1"/>
      <w:marLeft w:val="0"/>
      <w:marRight w:val="0"/>
      <w:marTop w:val="0"/>
      <w:marBottom w:val="0"/>
      <w:divBdr>
        <w:top w:val="none" w:sz="0" w:space="0" w:color="auto"/>
        <w:left w:val="none" w:sz="0" w:space="0" w:color="auto"/>
        <w:bottom w:val="none" w:sz="0" w:space="0" w:color="auto"/>
        <w:right w:val="none" w:sz="0" w:space="0" w:color="auto"/>
      </w:divBdr>
      <w:divsChild>
        <w:div w:id="555288180">
          <w:marLeft w:val="547"/>
          <w:marRight w:val="0"/>
          <w:marTop w:val="0"/>
          <w:marBottom w:val="0"/>
          <w:divBdr>
            <w:top w:val="none" w:sz="0" w:space="0" w:color="auto"/>
            <w:left w:val="none" w:sz="0" w:space="0" w:color="auto"/>
            <w:bottom w:val="none" w:sz="0" w:space="0" w:color="auto"/>
            <w:right w:val="none" w:sz="0" w:space="0" w:color="auto"/>
          </w:divBdr>
        </w:div>
      </w:divsChild>
    </w:div>
    <w:div w:id="249505536">
      <w:bodyDiv w:val="1"/>
      <w:marLeft w:val="0"/>
      <w:marRight w:val="0"/>
      <w:marTop w:val="0"/>
      <w:marBottom w:val="0"/>
      <w:divBdr>
        <w:top w:val="none" w:sz="0" w:space="0" w:color="auto"/>
        <w:left w:val="none" w:sz="0" w:space="0" w:color="auto"/>
        <w:bottom w:val="none" w:sz="0" w:space="0" w:color="auto"/>
        <w:right w:val="none" w:sz="0" w:space="0" w:color="auto"/>
      </w:divBdr>
    </w:div>
    <w:div w:id="300815563">
      <w:bodyDiv w:val="1"/>
      <w:marLeft w:val="0"/>
      <w:marRight w:val="0"/>
      <w:marTop w:val="0"/>
      <w:marBottom w:val="0"/>
      <w:divBdr>
        <w:top w:val="none" w:sz="0" w:space="0" w:color="auto"/>
        <w:left w:val="none" w:sz="0" w:space="0" w:color="auto"/>
        <w:bottom w:val="none" w:sz="0" w:space="0" w:color="auto"/>
        <w:right w:val="none" w:sz="0" w:space="0" w:color="auto"/>
      </w:divBdr>
    </w:div>
    <w:div w:id="438718079">
      <w:bodyDiv w:val="1"/>
      <w:marLeft w:val="0"/>
      <w:marRight w:val="0"/>
      <w:marTop w:val="0"/>
      <w:marBottom w:val="0"/>
      <w:divBdr>
        <w:top w:val="none" w:sz="0" w:space="0" w:color="auto"/>
        <w:left w:val="none" w:sz="0" w:space="0" w:color="auto"/>
        <w:bottom w:val="none" w:sz="0" w:space="0" w:color="auto"/>
        <w:right w:val="none" w:sz="0" w:space="0" w:color="auto"/>
      </w:divBdr>
    </w:div>
    <w:div w:id="755441392">
      <w:bodyDiv w:val="1"/>
      <w:marLeft w:val="0"/>
      <w:marRight w:val="0"/>
      <w:marTop w:val="0"/>
      <w:marBottom w:val="0"/>
      <w:divBdr>
        <w:top w:val="none" w:sz="0" w:space="0" w:color="auto"/>
        <w:left w:val="none" w:sz="0" w:space="0" w:color="auto"/>
        <w:bottom w:val="none" w:sz="0" w:space="0" w:color="auto"/>
        <w:right w:val="none" w:sz="0" w:space="0" w:color="auto"/>
      </w:divBdr>
    </w:div>
    <w:div w:id="833684111">
      <w:bodyDiv w:val="1"/>
      <w:marLeft w:val="0"/>
      <w:marRight w:val="0"/>
      <w:marTop w:val="0"/>
      <w:marBottom w:val="0"/>
      <w:divBdr>
        <w:top w:val="none" w:sz="0" w:space="0" w:color="auto"/>
        <w:left w:val="none" w:sz="0" w:space="0" w:color="auto"/>
        <w:bottom w:val="none" w:sz="0" w:space="0" w:color="auto"/>
        <w:right w:val="none" w:sz="0" w:space="0" w:color="auto"/>
      </w:divBdr>
      <w:divsChild>
        <w:div w:id="997659494">
          <w:marLeft w:val="547"/>
          <w:marRight w:val="0"/>
          <w:marTop w:val="0"/>
          <w:marBottom w:val="0"/>
          <w:divBdr>
            <w:top w:val="none" w:sz="0" w:space="0" w:color="auto"/>
            <w:left w:val="none" w:sz="0" w:space="0" w:color="auto"/>
            <w:bottom w:val="none" w:sz="0" w:space="0" w:color="auto"/>
            <w:right w:val="none" w:sz="0" w:space="0" w:color="auto"/>
          </w:divBdr>
        </w:div>
      </w:divsChild>
    </w:div>
    <w:div w:id="912161812">
      <w:bodyDiv w:val="1"/>
      <w:marLeft w:val="0"/>
      <w:marRight w:val="0"/>
      <w:marTop w:val="0"/>
      <w:marBottom w:val="0"/>
      <w:divBdr>
        <w:top w:val="none" w:sz="0" w:space="0" w:color="auto"/>
        <w:left w:val="none" w:sz="0" w:space="0" w:color="auto"/>
        <w:bottom w:val="none" w:sz="0" w:space="0" w:color="auto"/>
        <w:right w:val="none" w:sz="0" w:space="0" w:color="auto"/>
      </w:divBdr>
    </w:div>
    <w:div w:id="1078668427">
      <w:bodyDiv w:val="1"/>
      <w:marLeft w:val="0"/>
      <w:marRight w:val="0"/>
      <w:marTop w:val="0"/>
      <w:marBottom w:val="0"/>
      <w:divBdr>
        <w:top w:val="none" w:sz="0" w:space="0" w:color="auto"/>
        <w:left w:val="none" w:sz="0" w:space="0" w:color="auto"/>
        <w:bottom w:val="none" w:sz="0" w:space="0" w:color="auto"/>
        <w:right w:val="none" w:sz="0" w:space="0" w:color="auto"/>
      </w:divBdr>
    </w:div>
    <w:div w:id="1307122124">
      <w:bodyDiv w:val="1"/>
      <w:marLeft w:val="0"/>
      <w:marRight w:val="0"/>
      <w:marTop w:val="0"/>
      <w:marBottom w:val="0"/>
      <w:divBdr>
        <w:top w:val="none" w:sz="0" w:space="0" w:color="auto"/>
        <w:left w:val="none" w:sz="0" w:space="0" w:color="auto"/>
        <w:bottom w:val="none" w:sz="0" w:space="0" w:color="auto"/>
        <w:right w:val="none" w:sz="0" w:space="0" w:color="auto"/>
      </w:divBdr>
    </w:div>
    <w:div w:id="1375273396">
      <w:bodyDiv w:val="1"/>
      <w:marLeft w:val="0"/>
      <w:marRight w:val="0"/>
      <w:marTop w:val="0"/>
      <w:marBottom w:val="0"/>
      <w:divBdr>
        <w:top w:val="none" w:sz="0" w:space="0" w:color="auto"/>
        <w:left w:val="none" w:sz="0" w:space="0" w:color="auto"/>
        <w:bottom w:val="none" w:sz="0" w:space="0" w:color="auto"/>
        <w:right w:val="none" w:sz="0" w:space="0" w:color="auto"/>
      </w:divBdr>
    </w:div>
    <w:div w:id="1446804521">
      <w:bodyDiv w:val="1"/>
      <w:marLeft w:val="0"/>
      <w:marRight w:val="0"/>
      <w:marTop w:val="0"/>
      <w:marBottom w:val="0"/>
      <w:divBdr>
        <w:top w:val="none" w:sz="0" w:space="0" w:color="auto"/>
        <w:left w:val="none" w:sz="0" w:space="0" w:color="auto"/>
        <w:bottom w:val="none" w:sz="0" w:space="0" w:color="auto"/>
        <w:right w:val="none" w:sz="0" w:space="0" w:color="auto"/>
      </w:divBdr>
    </w:div>
    <w:div w:id="1603683923">
      <w:bodyDiv w:val="1"/>
      <w:marLeft w:val="0"/>
      <w:marRight w:val="0"/>
      <w:marTop w:val="0"/>
      <w:marBottom w:val="0"/>
      <w:divBdr>
        <w:top w:val="none" w:sz="0" w:space="0" w:color="auto"/>
        <w:left w:val="none" w:sz="0" w:space="0" w:color="auto"/>
        <w:bottom w:val="none" w:sz="0" w:space="0" w:color="auto"/>
        <w:right w:val="none" w:sz="0" w:space="0" w:color="auto"/>
      </w:divBdr>
    </w:div>
    <w:div w:id="1633485591">
      <w:bodyDiv w:val="1"/>
      <w:marLeft w:val="0"/>
      <w:marRight w:val="0"/>
      <w:marTop w:val="0"/>
      <w:marBottom w:val="0"/>
      <w:divBdr>
        <w:top w:val="none" w:sz="0" w:space="0" w:color="auto"/>
        <w:left w:val="none" w:sz="0" w:space="0" w:color="auto"/>
        <w:bottom w:val="none" w:sz="0" w:space="0" w:color="auto"/>
        <w:right w:val="none" w:sz="0" w:space="0" w:color="auto"/>
      </w:divBdr>
    </w:div>
    <w:div w:id="1712539088">
      <w:bodyDiv w:val="1"/>
      <w:marLeft w:val="0"/>
      <w:marRight w:val="0"/>
      <w:marTop w:val="0"/>
      <w:marBottom w:val="0"/>
      <w:divBdr>
        <w:top w:val="none" w:sz="0" w:space="0" w:color="auto"/>
        <w:left w:val="none" w:sz="0" w:space="0" w:color="auto"/>
        <w:bottom w:val="none" w:sz="0" w:space="0" w:color="auto"/>
        <w:right w:val="none" w:sz="0" w:space="0" w:color="auto"/>
      </w:divBdr>
    </w:div>
    <w:div w:id="1883783579">
      <w:bodyDiv w:val="1"/>
      <w:marLeft w:val="0"/>
      <w:marRight w:val="0"/>
      <w:marTop w:val="0"/>
      <w:marBottom w:val="0"/>
      <w:divBdr>
        <w:top w:val="none" w:sz="0" w:space="0" w:color="auto"/>
        <w:left w:val="none" w:sz="0" w:space="0" w:color="auto"/>
        <w:bottom w:val="none" w:sz="0" w:space="0" w:color="auto"/>
        <w:right w:val="none" w:sz="0" w:space="0" w:color="auto"/>
      </w:divBdr>
    </w:div>
    <w:div w:id="2032799252">
      <w:bodyDiv w:val="1"/>
      <w:marLeft w:val="0"/>
      <w:marRight w:val="0"/>
      <w:marTop w:val="0"/>
      <w:marBottom w:val="0"/>
      <w:divBdr>
        <w:top w:val="none" w:sz="0" w:space="0" w:color="auto"/>
        <w:left w:val="none" w:sz="0" w:space="0" w:color="auto"/>
        <w:bottom w:val="none" w:sz="0" w:space="0" w:color="auto"/>
        <w:right w:val="none" w:sz="0" w:space="0" w:color="auto"/>
      </w:divBdr>
    </w:div>
    <w:div w:id="20503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Word.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174D-BF2C-4402-8972-7A06EFE1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31417</Words>
  <Characters>172794</Characters>
  <Application>Microsoft Office Word</Application>
  <DocSecurity>0</DocSecurity>
  <Lines>1439</Lines>
  <Paragraphs>407</Paragraphs>
  <ScaleCrop>false</ScaleCrop>
  <HeadingPairs>
    <vt:vector size="2" baseType="variant">
      <vt:variant>
        <vt:lpstr>Título</vt:lpstr>
      </vt:variant>
      <vt:variant>
        <vt:i4>1</vt:i4>
      </vt:variant>
    </vt:vector>
  </HeadingPairs>
  <TitlesOfParts>
    <vt:vector size="1" baseType="lpstr">
      <vt:lpstr>Bogotá, D</vt:lpstr>
    </vt:vector>
  </TitlesOfParts>
  <Company>Hewlett-Packard Company</Company>
  <LinksUpToDate>false</LinksUpToDate>
  <CharactersWithSpaces>203804</CharactersWithSpaces>
  <SharedDoc>false</SharedDoc>
  <HLinks>
    <vt:vector size="126" baseType="variant">
      <vt:variant>
        <vt:i4>2031670</vt:i4>
      </vt:variant>
      <vt:variant>
        <vt:i4>122</vt:i4>
      </vt:variant>
      <vt:variant>
        <vt:i4>0</vt:i4>
      </vt:variant>
      <vt:variant>
        <vt:i4>5</vt:i4>
      </vt:variant>
      <vt:variant>
        <vt:lpwstr/>
      </vt:variant>
      <vt:variant>
        <vt:lpwstr>_Toc492919118</vt:lpwstr>
      </vt:variant>
      <vt:variant>
        <vt:i4>2031670</vt:i4>
      </vt:variant>
      <vt:variant>
        <vt:i4>116</vt:i4>
      </vt:variant>
      <vt:variant>
        <vt:i4>0</vt:i4>
      </vt:variant>
      <vt:variant>
        <vt:i4>5</vt:i4>
      </vt:variant>
      <vt:variant>
        <vt:lpwstr/>
      </vt:variant>
      <vt:variant>
        <vt:lpwstr>_Toc492919117</vt:lpwstr>
      </vt:variant>
      <vt:variant>
        <vt:i4>2031670</vt:i4>
      </vt:variant>
      <vt:variant>
        <vt:i4>110</vt:i4>
      </vt:variant>
      <vt:variant>
        <vt:i4>0</vt:i4>
      </vt:variant>
      <vt:variant>
        <vt:i4>5</vt:i4>
      </vt:variant>
      <vt:variant>
        <vt:lpwstr/>
      </vt:variant>
      <vt:variant>
        <vt:lpwstr>_Toc492919116</vt:lpwstr>
      </vt:variant>
      <vt:variant>
        <vt:i4>2031670</vt:i4>
      </vt:variant>
      <vt:variant>
        <vt:i4>104</vt:i4>
      </vt:variant>
      <vt:variant>
        <vt:i4>0</vt:i4>
      </vt:variant>
      <vt:variant>
        <vt:i4>5</vt:i4>
      </vt:variant>
      <vt:variant>
        <vt:lpwstr/>
      </vt:variant>
      <vt:variant>
        <vt:lpwstr>_Toc492919115</vt:lpwstr>
      </vt:variant>
      <vt:variant>
        <vt:i4>2031670</vt:i4>
      </vt:variant>
      <vt:variant>
        <vt:i4>98</vt:i4>
      </vt:variant>
      <vt:variant>
        <vt:i4>0</vt:i4>
      </vt:variant>
      <vt:variant>
        <vt:i4>5</vt:i4>
      </vt:variant>
      <vt:variant>
        <vt:lpwstr/>
      </vt:variant>
      <vt:variant>
        <vt:lpwstr>_Toc492919114</vt:lpwstr>
      </vt:variant>
      <vt:variant>
        <vt:i4>2031670</vt:i4>
      </vt:variant>
      <vt:variant>
        <vt:i4>92</vt:i4>
      </vt:variant>
      <vt:variant>
        <vt:i4>0</vt:i4>
      </vt:variant>
      <vt:variant>
        <vt:i4>5</vt:i4>
      </vt:variant>
      <vt:variant>
        <vt:lpwstr/>
      </vt:variant>
      <vt:variant>
        <vt:lpwstr>_Toc492919113</vt:lpwstr>
      </vt:variant>
      <vt:variant>
        <vt:i4>2031670</vt:i4>
      </vt:variant>
      <vt:variant>
        <vt:i4>86</vt:i4>
      </vt:variant>
      <vt:variant>
        <vt:i4>0</vt:i4>
      </vt:variant>
      <vt:variant>
        <vt:i4>5</vt:i4>
      </vt:variant>
      <vt:variant>
        <vt:lpwstr/>
      </vt:variant>
      <vt:variant>
        <vt:lpwstr>_Toc492919112</vt:lpwstr>
      </vt:variant>
      <vt:variant>
        <vt:i4>2031670</vt:i4>
      </vt:variant>
      <vt:variant>
        <vt:i4>80</vt:i4>
      </vt:variant>
      <vt:variant>
        <vt:i4>0</vt:i4>
      </vt:variant>
      <vt:variant>
        <vt:i4>5</vt:i4>
      </vt:variant>
      <vt:variant>
        <vt:lpwstr/>
      </vt:variant>
      <vt:variant>
        <vt:lpwstr>_Toc492919111</vt:lpwstr>
      </vt:variant>
      <vt:variant>
        <vt:i4>2031670</vt:i4>
      </vt:variant>
      <vt:variant>
        <vt:i4>74</vt:i4>
      </vt:variant>
      <vt:variant>
        <vt:i4>0</vt:i4>
      </vt:variant>
      <vt:variant>
        <vt:i4>5</vt:i4>
      </vt:variant>
      <vt:variant>
        <vt:lpwstr/>
      </vt:variant>
      <vt:variant>
        <vt:lpwstr>_Toc492919110</vt:lpwstr>
      </vt:variant>
      <vt:variant>
        <vt:i4>1966134</vt:i4>
      </vt:variant>
      <vt:variant>
        <vt:i4>68</vt:i4>
      </vt:variant>
      <vt:variant>
        <vt:i4>0</vt:i4>
      </vt:variant>
      <vt:variant>
        <vt:i4>5</vt:i4>
      </vt:variant>
      <vt:variant>
        <vt:lpwstr/>
      </vt:variant>
      <vt:variant>
        <vt:lpwstr>_Toc492919109</vt:lpwstr>
      </vt:variant>
      <vt:variant>
        <vt:i4>1966134</vt:i4>
      </vt:variant>
      <vt:variant>
        <vt:i4>62</vt:i4>
      </vt:variant>
      <vt:variant>
        <vt:i4>0</vt:i4>
      </vt:variant>
      <vt:variant>
        <vt:i4>5</vt:i4>
      </vt:variant>
      <vt:variant>
        <vt:lpwstr/>
      </vt:variant>
      <vt:variant>
        <vt:lpwstr>_Toc492919108</vt:lpwstr>
      </vt:variant>
      <vt:variant>
        <vt:i4>1966134</vt:i4>
      </vt:variant>
      <vt:variant>
        <vt:i4>56</vt:i4>
      </vt:variant>
      <vt:variant>
        <vt:i4>0</vt:i4>
      </vt:variant>
      <vt:variant>
        <vt:i4>5</vt:i4>
      </vt:variant>
      <vt:variant>
        <vt:lpwstr/>
      </vt:variant>
      <vt:variant>
        <vt:lpwstr>_Toc492919107</vt:lpwstr>
      </vt:variant>
      <vt:variant>
        <vt:i4>1966134</vt:i4>
      </vt:variant>
      <vt:variant>
        <vt:i4>50</vt:i4>
      </vt:variant>
      <vt:variant>
        <vt:i4>0</vt:i4>
      </vt:variant>
      <vt:variant>
        <vt:i4>5</vt:i4>
      </vt:variant>
      <vt:variant>
        <vt:lpwstr/>
      </vt:variant>
      <vt:variant>
        <vt:lpwstr>_Toc492919106</vt:lpwstr>
      </vt:variant>
      <vt:variant>
        <vt:i4>1966134</vt:i4>
      </vt:variant>
      <vt:variant>
        <vt:i4>44</vt:i4>
      </vt:variant>
      <vt:variant>
        <vt:i4>0</vt:i4>
      </vt:variant>
      <vt:variant>
        <vt:i4>5</vt:i4>
      </vt:variant>
      <vt:variant>
        <vt:lpwstr/>
      </vt:variant>
      <vt:variant>
        <vt:lpwstr>_Toc492919105</vt:lpwstr>
      </vt:variant>
      <vt:variant>
        <vt:i4>1966134</vt:i4>
      </vt:variant>
      <vt:variant>
        <vt:i4>38</vt:i4>
      </vt:variant>
      <vt:variant>
        <vt:i4>0</vt:i4>
      </vt:variant>
      <vt:variant>
        <vt:i4>5</vt:i4>
      </vt:variant>
      <vt:variant>
        <vt:lpwstr/>
      </vt:variant>
      <vt:variant>
        <vt:lpwstr>_Toc492919104</vt:lpwstr>
      </vt:variant>
      <vt:variant>
        <vt:i4>1966134</vt:i4>
      </vt:variant>
      <vt:variant>
        <vt:i4>32</vt:i4>
      </vt:variant>
      <vt:variant>
        <vt:i4>0</vt:i4>
      </vt:variant>
      <vt:variant>
        <vt:i4>5</vt:i4>
      </vt:variant>
      <vt:variant>
        <vt:lpwstr/>
      </vt:variant>
      <vt:variant>
        <vt:lpwstr>_Toc492919103</vt:lpwstr>
      </vt:variant>
      <vt:variant>
        <vt:i4>1966134</vt:i4>
      </vt:variant>
      <vt:variant>
        <vt:i4>26</vt:i4>
      </vt:variant>
      <vt:variant>
        <vt:i4>0</vt:i4>
      </vt:variant>
      <vt:variant>
        <vt:i4>5</vt:i4>
      </vt:variant>
      <vt:variant>
        <vt:lpwstr/>
      </vt:variant>
      <vt:variant>
        <vt:lpwstr>_Toc492919102</vt:lpwstr>
      </vt:variant>
      <vt:variant>
        <vt:i4>1966134</vt:i4>
      </vt:variant>
      <vt:variant>
        <vt:i4>20</vt:i4>
      </vt:variant>
      <vt:variant>
        <vt:i4>0</vt:i4>
      </vt:variant>
      <vt:variant>
        <vt:i4>5</vt:i4>
      </vt:variant>
      <vt:variant>
        <vt:lpwstr/>
      </vt:variant>
      <vt:variant>
        <vt:lpwstr>_Toc492919101</vt:lpwstr>
      </vt:variant>
      <vt:variant>
        <vt:i4>1966134</vt:i4>
      </vt:variant>
      <vt:variant>
        <vt:i4>14</vt:i4>
      </vt:variant>
      <vt:variant>
        <vt:i4>0</vt:i4>
      </vt:variant>
      <vt:variant>
        <vt:i4>5</vt:i4>
      </vt:variant>
      <vt:variant>
        <vt:lpwstr/>
      </vt:variant>
      <vt:variant>
        <vt:lpwstr>_Toc492919100</vt:lpwstr>
      </vt:variant>
      <vt:variant>
        <vt:i4>1507383</vt:i4>
      </vt:variant>
      <vt:variant>
        <vt:i4>8</vt:i4>
      </vt:variant>
      <vt:variant>
        <vt:i4>0</vt:i4>
      </vt:variant>
      <vt:variant>
        <vt:i4>5</vt:i4>
      </vt:variant>
      <vt:variant>
        <vt:lpwstr/>
      </vt:variant>
      <vt:variant>
        <vt:lpwstr>_Toc492919099</vt:lpwstr>
      </vt:variant>
      <vt:variant>
        <vt:i4>1507383</vt:i4>
      </vt:variant>
      <vt:variant>
        <vt:i4>2</vt:i4>
      </vt:variant>
      <vt:variant>
        <vt:i4>0</vt:i4>
      </vt:variant>
      <vt:variant>
        <vt:i4>5</vt:i4>
      </vt:variant>
      <vt:variant>
        <vt:lpwstr/>
      </vt:variant>
      <vt:variant>
        <vt:lpwstr>_Toc492919098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Preferred Customer</dc:creator>
  <cp:keywords/>
  <cp:lastModifiedBy>Yeniffer Andrea Moreno Castro</cp:lastModifiedBy>
  <cp:revision>3</cp:revision>
  <cp:lastPrinted>2013-02-21T20:40:00Z</cp:lastPrinted>
  <dcterms:created xsi:type="dcterms:W3CDTF">2018-07-09T15:21:00Z</dcterms:created>
  <dcterms:modified xsi:type="dcterms:W3CDTF">2018-07-09T15:21:00Z</dcterms:modified>
</cp:coreProperties>
</file>