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19FC" w:rsidRDefault="00A019FC" w:rsidP="002A119B">
      <w:pPr>
        <w:spacing w:after="120"/>
        <w:jc w:val="center"/>
        <w:rPr>
          <w:rFonts w:cs="Arial"/>
          <w:b/>
          <w:lang w:val="es-MX"/>
        </w:rPr>
      </w:pPr>
    </w:p>
    <w:p w:rsidR="00A019FC" w:rsidRDefault="00A019FC" w:rsidP="002A119B">
      <w:pPr>
        <w:spacing w:after="120"/>
        <w:jc w:val="center"/>
        <w:rPr>
          <w:rFonts w:cs="Arial"/>
          <w:b/>
          <w:lang w:val="es-MX"/>
        </w:rPr>
      </w:pPr>
    </w:p>
    <w:p w:rsidR="00A019FC" w:rsidRDefault="006E056F" w:rsidP="002A119B">
      <w:pPr>
        <w:spacing w:after="120"/>
        <w:jc w:val="center"/>
        <w:rPr>
          <w:rFonts w:cs="Arial"/>
          <w:b/>
          <w:lang w:val="es-MX"/>
        </w:rPr>
      </w:pPr>
      <w:r>
        <w:rPr>
          <w:rFonts w:cs="Arial"/>
          <w:b/>
          <w:noProof/>
          <w:lang w:val="es-CO" w:eastAsia="es-CO"/>
        </w:rPr>
        <w:drawing>
          <wp:anchor distT="0" distB="0" distL="114300" distR="114300" simplePos="0" relativeHeight="251657728" behindDoc="0" locked="0" layoutInCell="1" allowOverlap="1">
            <wp:simplePos x="0" y="0"/>
            <wp:positionH relativeFrom="column">
              <wp:posOffset>1352550</wp:posOffset>
            </wp:positionH>
            <wp:positionV relativeFrom="paragraph">
              <wp:posOffset>215265</wp:posOffset>
            </wp:positionV>
            <wp:extent cx="3594735" cy="1060450"/>
            <wp:effectExtent l="0" t="0" r="5715" b="6350"/>
            <wp:wrapNone/>
            <wp:docPr id="2" name="Imagen 2" descr="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473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0CB" w:rsidRDefault="00E100CB" w:rsidP="002A119B">
      <w:pPr>
        <w:spacing w:after="120"/>
        <w:jc w:val="center"/>
        <w:rPr>
          <w:rFonts w:cs="Arial"/>
          <w:b/>
          <w:lang w:val="es-MX"/>
        </w:rPr>
      </w:pPr>
    </w:p>
    <w:p w:rsidR="00A019FC" w:rsidRDefault="00A019FC" w:rsidP="002A119B">
      <w:pPr>
        <w:spacing w:after="120"/>
        <w:jc w:val="center"/>
        <w:rPr>
          <w:rFonts w:cs="Arial"/>
          <w:b/>
          <w:lang w:val="es-MX"/>
        </w:rPr>
      </w:pPr>
    </w:p>
    <w:p w:rsidR="00EA60A3" w:rsidRDefault="00EA60A3" w:rsidP="002A119B">
      <w:pPr>
        <w:spacing w:after="120"/>
        <w:jc w:val="center"/>
        <w:rPr>
          <w:rFonts w:cs="Arial"/>
          <w:b/>
          <w:lang w:val="es-MX"/>
        </w:rPr>
      </w:pPr>
    </w:p>
    <w:p w:rsidR="00EA60A3" w:rsidRDefault="00EA60A3" w:rsidP="002A119B">
      <w:pPr>
        <w:spacing w:after="120"/>
        <w:jc w:val="center"/>
        <w:rPr>
          <w:rFonts w:cs="Arial"/>
          <w:b/>
          <w:lang w:val="es-MX"/>
        </w:rPr>
      </w:pPr>
    </w:p>
    <w:p w:rsidR="00A019FC" w:rsidRDefault="00A019FC" w:rsidP="002A119B">
      <w:pPr>
        <w:spacing w:after="120"/>
        <w:jc w:val="center"/>
        <w:rPr>
          <w:rFonts w:cs="Arial"/>
          <w:b/>
          <w:lang w:val="es-MX"/>
        </w:rPr>
      </w:pPr>
    </w:p>
    <w:p w:rsidR="002E409F" w:rsidRDefault="002E409F" w:rsidP="002A119B">
      <w:pPr>
        <w:spacing w:after="120"/>
        <w:jc w:val="center"/>
        <w:rPr>
          <w:rFonts w:cs="Arial"/>
          <w:b/>
          <w:lang w:val="es-MX"/>
        </w:rPr>
      </w:pPr>
    </w:p>
    <w:p w:rsidR="00A019FC" w:rsidRDefault="002A119B" w:rsidP="002A119B">
      <w:pPr>
        <w:spacing w:after="120"/>
        <w:jc w:val="center"/>
        <w:rPr>
          <w:rFonts w:cs="Arial"/>
          <w:b/>
          <w:lang w:val="es-MX"/>
        </w:rPr>
      </w:pPr>
      <w:r w:rsidRPr="00304B5B">
        <w:rPr>
          <w:rFonts w:cs="Arial"/>
          <w:b/>
          <w:lang w:val="es-MX"/>
        </w:rPr>
        <w:t xml:space="preserve">DOCUMENTO DE TRABAJO </w:t>
      </w:r>
      <w:r w:rsidR="007407E6">
        <w:rPr>
          <w:rFonts w:cs="Arial"/>
          <w:b/>
          <w:lang w:val="es-MX"/>
        </w:rPr>
        <w:t>PROYECTO GENERAL</w:t>
      </w:r>
    </w:p>
    <w:p w:rsidR="00A019FC" w:rsidRDefault="00A019FC" w:rsidP="002A119B">
      <w:pPr>
        <w:spacing w:after="120"/>
        <w:jc w:val="center"/>
        <w:rPr>
          <w:rFonts w:cs="Arial"/>
          <w:b/>
          <w:lang w:val="es-MX"/>
        </w:rPr>
      </w:pPr>
    </w:p>
    <w:p w:rsidR="00A019FC" w:rsidRDefault="00A019FC" w:rsidP="002A119B">
      <w:pPr>
        <w:spacing w:after="120"/>
        <w:jc w:val="center"/>
        <w:rPr>
          <w:rFonts w:cs="Arial"/>
          <w:b/>
          <w:lang w:val="es-MX"/>
        </w:rPr>
      </w:pPr>
    </w:p>
    <w:p w:rsidR="00C5090C" w:rsidRPr="00AA470E" w:rsidRDefault="00C5090C" w:rsidP="00C5090C">
      <w:pPr>
        <w:spacing w:after="0" w:line="240" w:lineRule="auto"/>
        <w:jc w:val="center"/>
        <w:rPr>
          <w:b/>
          <w:lang w:val="es-MX"/>
        </w:rPr>
      </w:pPr>
      <w:r>
        <w:rPr>
          <w:rFonts w:cs="Arial"/>
          <w:b/>
          <w:lang w:val="es-MX"/>
        </w:rPr>
        <w:t xml:space="preserve">ANÁLISIS DEL PARÁGRAFO DEL ARTÍCULO 5 DE LA RESOLUCIÓN CRA 543 DE </w:t>
      </w:r>
      <w:r w:rsidRPr="00AA470E">
        <w:rPr>
          <w:rFonts w:cs="Arial"/>
          <w:b/>
          <w:lang w:val="es-MX"/>
        </w:rPr>
        <w:t xml:space="preserve">2011 </w:t>
      </w:r>
      <w:r w:rsidRPr="00AA470E">
        <w:rPr>
          <w:b/>
          <w:i/>
          <w:lang w:val="es-MX"/>
        </w:rPr>
        <w:t>“POR LA CUAL SE ESTABLECE LA METODOLOGÍA PARA LA ACTUALIZACIÓN DE TARIFAS DE LOS SERVICIOS PÚBLICOS DOMICILIARIOS DE ACUEDUCTO Y ALCANTARILLADO, SUS ACTIVIDADES COMPLEMENTARIAS Y LAS ACTIVIDADES QUE REALIZAN LOS PRESTADORES DE LOS MISMOS, EN LOS TÉRMINOS DE LA LEY 142 DE 1994”</w:t>
      </w:r>
      <w:r w:rsidRPr="00AA470E">
        <w:rPr>
          <w:b/>
          <w:lang w:val="es-MX"/>
        </w:rPr>
        <w:t>.</w:t>
      </w:r>
    </w:p>
    <w:p w:rsidR="00CB35AE" w:rsidRDefault="00CB35AE" w:rsidP="002A119B">
      <w:pPr>
        <w:spacing w:after="120"/>
        <w:jc w:val="center"/>
        <w:rPr>
          <w:rFonts w:cs="Arial"/>
          <w:b/>
          <w:lang w:val="es-MX"/>
        </w:rPr>
      </w:pPr>
    </w:p>
    <w:p w:rsidR="008C0BD5" w:rsidRDefault="007A57A1" w:rsidP="00C60E7F">
      <w:pPr>
        <w:spacing w:after="0" w:line="240" w:lineRule="auto"/>
        <w:jc w:val="center"/>
        <w:rPr>
          <w:sz w:val="24"/>
          <w:szCs w:val="24"/>
          <w:lang w:val="es-MX"/>
        </w:rPr>
      </w:pPr>
      <w:r>
        <w:rPr>
          <w:rFonts w:cs="Arial"/>
          <w:b/>
          <w:lang w:val="es-MX"/>
        </w:rPr>
        <w:t>JUL</w:t>
      </w:r>
      <w:r w:rsidR="00820A4A">
        <w:rPr>
          <w:rFonts w:cs="Arial"/>
          <w:b/>
          <w:lang w:val="es-MX"/>
        </w:rPr>
        <w:t>IO</w:t>
      </w:r>
      <w:r w:rsidR="00C5090C">
        <w:rPr>
          <w:rFonts w:cs="Arial"/>
          <w:b/>
          <w:lang w:val="es-MX"/>
        </w:rPr>
        <w:t xml:space="preserve"> DE 2012</w:t>
      </w:r>
    </w:p>
    <w:p w:rsidR="00997ECF" w:rsidRDefault="00997ECF" w:rsidP="008F25A0">
      <w:pPr>
        <w:spacing w:after="0" w:line="240" w:lineRule="auto"/>
        <w:jc w:val="center"/>
        <w:rPr>
          <w:b/>
          <w:sz w:val="24"/>
          <w:szCs w:val="24"/>
          <w:lang w:val="es-MX"/>
        </w:rPr>
      </w:pPr>
    </w:p>
    <w:p w:rsidR="002E409F" w:rsidRDefault="002E409F" w:rsidP="008F25A0">
      <w:pPr>
        <w:spacing w:after="0" w:line="240" w:lineRule="auto"/>
        <w:jc w:val="center"/>
        <w:rPr>
          <w:b/>
          <w:sz w:val="24"/>
          <w:szCs w:val="24"/>
          <w:lang w:val="es-MX"/>
        </w:rPr>
      </w:pPr>
    </w:p>
    <w:p w:rsidR="00AE32C9" w:rsidRDefault="00AE32C9" w:rsidP="00AA7A4C">
      <w:pPr>
        <w:spacing w:after="0" w:line="240" w:lineRule="auto"/>
        <w:jc w:val="center"/>
        <w:rPr>
          <w:b/>
          <w:sz w:val="24"/>
          <w:szCs w:val="24"/>
          <w:lang w:val="es-MX"/>
        </w:rPr>
      </w:pPr>
    </w:p>
    <w:p w:rsidR="00383E50" w:rsidRPr="008F25A0" w:rsidRDefault="008F25A0" w:rsidP="00AA7A4C">
      <w:pPr>
        <w:spacing w:after="0" w:line="240" w:lineRule="auto"/>
        <w:jc w:val="center"/>
        <w:rPr>
          <w:b/>
          <w:sz w:val="24"/>
          <w:szCs w:val="24"/>
          <w:lang w:val="es-MX"/>
        </w:rPr>
      </w:pPr>
      <w:r w:rsidRPr="008F25A0">
        <w:rPr>
          <w:b/>
          <w:sz w:val="24"/>
          <w:szCs w:val="24"/>
          <w:lang w:val="es-MX"/>
        </w:rPr>
        <w:t xml:space="preserve">TABLA DE </w:t>
      </w:r>
      <w:r w:rsidR="00383E50" w:rsidRPr="008F25A0">
        <w:rPr>
          <w:b/>
          <w:sz w:val="24"/>
          <w:szCs w:val="24"/>
          <w:lang w:val="es-MX"/>
        </w:rPr>
        <w:t>CONTENIDO</w:t>
      </w:r>
    </w:p>
    <w:p w:rsidR="00AA7A4C" w:rsidRDefault="00AA7A4C" w:rsidP="00AA7A4C">
      <w:pPr>
        <w:spacing w:after="0" w:line="240" w:lineRule="auto"/>
        <w:jc w:val="both"/>
        <w:rPr>
          <w:sz w:val="24"/>
          <w:szCs w:val="24"/>
          <w:lang w:val="es-MX"/>
        </w:rPr>
      </w:pPr>
    </w:p>
    <w:p w:rsidR="00217D10" w:rsidRDefault="00C5090C">
      <w:pPr>
        <w:pStyle w:val="TDC1"/>
        <w:tabs>
          <w:tab w:val="left" w:pos="440"/>
          <w:tab w:val="right" w:leader="dot" w:pos="9962"/>
        </w:tabs>
        <w:rPr>
          <w:rFonts w:asciiTheme="minorHAnsi" w:eastAsiaTheme="minorEastAsia" w:hAnsiTheme="minorHAnsi" w:cstheme="minorBidi"/>
          <w:noProof/>
          <w:lang w:val="es-CO" w:eastAsia="es-CO"/>
        </w:rPr>
      </w:pPr>
      <w:r>
        <w:rPr>
          <w:sz w:val="24"/>
          <w:szCs w:val="24"/>
          <w:lang w:val="es-MX"/>
        </w:rPr>
        <w:fldChar w:fldCharType="begin"/>
      </w:r>
      <w:r>
        <w:rPr>
          <w:sz w:val="24"/>
          <w:szCs w:val="24"/>
          <w:lang w:val="es-MX"/>
        </w:rPr>
        <w:instrText xml:space="preserve"> TOC \o "1-3" \h \z \u </w:instrText>
      </w:r>
      <w:r>
        <w:rPr>
          <w:sz w:val="24"/>
          <w:szCs w:val="24"/>
          <w:lang w:val="es-MX"/>
        </w:rPr>
        <w:fldChar w:fldCharType="separate"/>
      </w:r>
      <w:hyperlink w:anchor="_Toc323042155" w:history="1">
        <w:r w:rsidR="00217D10" w:rsidRPr="00AD1F73">
          <w:rPr>
            <w:rStyle w:val="Hipervnculo"/>
            <w:noProof/>
            <w:lang w:val="es-MX"/>
          </w:rPr>
          <w:t>1.</w:t>
        </w:r>
        <w:r w:rsidR="00217D10">
          <w:rPr>
            <w:rFonts w:asciiTheme="minorHAnsi" w:eastAsiaTheme="minorEastAsia" w:hAnsiTheme="minorHAnsi" w:cstheme="minorBidi"/>
            <w:noProof/>
            <w:lang w:val="es-CO" w:eastAsia="es-CO"/>
          </w:rPr>
          <w:tab/>
        </w:r>
        <w:r w:rsidR="00217D10" w:rsidRPr="00AD1F73">
          <w:rPr>
            <w:rStyle w:val="Hipervnculo"/>
            <w:noProof/>
            <w:lang w:val="es-MX"/>
          </w:rPr>
          <w:t>INTRODUCCIÓN.</w:t>
        </w:r>
        <w:r w:rsidR="00217D10">
          <w:rPr>
            <w:noProof/>
            <w:webHidden/>
          </w:rPr>
          <w:tab/>
        </w:r>
        <w:r w:rsidR="00217D10">
          <w:rPr>
            <w:noProof/>
            <w:webHidden/>
          </w:rPr>
          <w:fldChar w:fldCharType="begin"/>
        </w:r>
        <w:r w:rsidR="00217D10">
          <w:rPr>
            <w:noProof/>
            <w:webHidden/>
          </w:rPr>
          <w:instrText xml:space="preserve"> PAGEREF _Toc323042155 \h </w:instrText>
        </w:r>
        <w:r w:rsidR="00217D10">
          <w:rPr>
            <w:noProof/>
            <w:webHidden/>
          </w:rPr>
        </w:r>
        <w:r w:rsidR="00217D10">
          <w:rPr>
            <w:noProof/>
            <w:webHidden/>
          </w:rPr>
          <w:fldChar w:fldCharType="separate"/>
        </w:r>
        <w:r w:rsidR="002E13AC">
          <w:rPr>
            <w:noProof/>
            <w:webHidden/>
          </w:rPr>
          <w:t>2</w:t>
        </w:r>
        <w:r w:rsidR="00217D10">
          <w:rPr>
            <w:noProof/>
            <w:webHidden/>
          </w:rPr>
          <w:fldChar w:fldCharType="end"/>
        </w:r>
      </w:hyperlink>
    </w:p>
    <w:p w:rsidR="00217D10" w:rsidRDefault="00C078B1">
      <w:pPr>
        <w:pStyle w:val="TDC1"/>
        <w:tabs>
          <w:tab w:val="left" w:pos="440"/>
          <w:tab w:val="right" w:leader="dot" w:pos="9962"/>
        </w:tabs>
        <w:rPr>
          <w:rFonts w:asciiTheme="minorHAnsi" w:eastAsiaTheme="minorEastAsia" w:hAnsiTheme="minorHAnsi" w:cstheme="minorBidi"/>
          <w:noProof/>
          <w:lang w:val="es-CO" w:eastAsia="es-CO"/>
        </w:rPr>
      </w:pPr>
      <w:hyperlink w:anchor="_Toc323042156" w:history="1">
        <w:r w:rsidR="00217D10" w:rsidRPr="00AD1F73">
          <w:rPr>
            <w:rStyle w:val="Hipervnculo"/>
            <w:noProof/>
            <w:lang w:val="es-MX"/>
          </w:rPr>
          <w:t>2.</w:t>
        </w:r>
        <w:r w:rsidR="00217D10">
          <w:rPr>
            <w:rFonts w:asciiTheme="minorHAnsi" w:eastAsiaTheme="minorEastAsia" w:hAnsiTheme="minorHAnsi" w:cstheme="minorBidi"/>
            <w:noProof/>
            <w:lang w:val="es-CO" w:eastAsia="es-CO"/>
          </w:rPr>
          <w:tab/>
        </w:r>
        <w:r w:rsidR="00217D10" w:rsidRPr="00AD1F73">
          <w:rPr>
            <w:rStyle w:val="Hipervnculo"/>
            <w:noProof/>
            <w:lang w:val="es-MX"/>
          </w:rPr>
          <w:t>OBJETIVOS.</w:t>
        </w:r>
        <w:r w:rsidR="00217D10">
          <w:rPr>
            <w:noProof/>
            <w:webHidden/>
          </w:rPr>
          <w:tab/>
        </w:r>
        <w:r w:rsidR="00217D10">
          <w:rPr>
            <w:noProof/>
            <w:webHidden/>
          </w:rPr>
          <w:fldChar w:fldCharType="begin"/>
        </w:r>
        <w:r w:rsidR="00217D10">
          <w:rPr>
            <w:noProof/>
            <w:webHidden/>
          </w:rPr>
          <w:instrText xml:space="preserve"> PAGEREF _Toc323042156 \h </w:instrText>
        </w:r>
        <w:r w:rsidR="00217D10">
          <w:rPr>
            <w:noProof/>
            <w:webHidden/>
          </w:rPr>
        </w:r>
        <w:r w:rsidR="00217D10">
          <w:rPr>
            <w:noProof/>
            <w:webHidden/>
          </w:rPr>
          <w:fldChar w:fldCharType="separate"/>
        </w:r>
        <w:r w:rsidR="002E13AC">
          <w:rPr>
            <w:noProof/>
            <w:webHidden/>
          </w:rPr>
          <w:t>2</w:t>
        </w:r>
        <w:r w:rsidR="00217D10">
          <w:rPr>
            <w:noProof/>
            <w:webHidden/>
          </w:rPr>
          <w:fldChar w:fldCharType="end"/>
        </w:r>
      </w:hyperlink>
    </w:p>
    <w:p w:rsidR="00217D10" w:rsidRDefault="00C078B1">
      <w:pPr>
        <w:pStyle w:val="TDC1"/>
        <w:tabs>
          <w:tab w:val="left" w:pos="440"/>
          <w:tab w:val="right" w:leader="dot" w:pos="9962"/>
        </w:tabs>
        <w:rPr>
          <w:rFonts w:asciiTheme="minorHAnsi" w:eastAsiaTheme="minorEastAsia" w:hAnsiTheme="minorHAnsi" w:cstheme="minorBidi"/>
          <w:noProof/>
          <w:lang w:val="es-CO" w:eastAsia="es-CO"/>
        </w:rPr>
      </w:pPr>
      <w:hyperlink w:anchor="_Toc323042157" w:history="1">
        <w:r w:rsidR="00217D10" w:rsidRPr="00AD1F73">
          <w:rPr>
            <w:rStyle w:val="Hipervnculo"/>
            <w:noProof/>
            <w:lang w:val="es-MX"/>
          </w:rPr>
          <w:t>3.</w:t>
        </w:r>
        <w:r w:rsidR="00217D10">
          <w:rPr>
            <w:rFonts w:asciiTheme="minorHAnsi" w:eastAsiaTheme="minorEastAsia" w:hAnsiTheme="minorHAnsi" w:cstheme="minorBidi"/>
            <w:noProof/>
            <w:lang w:val="es-CO" w:eastAsia="es-CO"/>
          </w:rPr>
          <w:tab/>
        </w:r>
        <w:r w:rsidR="00217D10" w:rsidRPr="00AD1F73">
          <w:rPr>
            <w:rStyle w:val="Hipervnculo"/>
            <w:noProof/>
            <w:lang w:val="es-MX"/>
          </w:rPr>
          <w:t>JUSTIFICACIÓN.</w:t>
        </w:r>
        <w:r w:rsidR="00217D10">
          <w:rPr>
            <w:noProof/>
            <w:webHidden/>
          </w:rPr>
          <w:tab/>
        </w:r>
        <w:r w:rsidR="00217D10">
          <w:rPr>
            <w:noProof/>
            <w:webHidden/>
          </w:rPr>
          <w:fldChar w:fldCharType="begin"/>
        </w:r>
        <w:r w:rsidR="00217D10">
          <w:rPr>
            <w:noProof/>
            <w:webHidden/>
          </w:rPr>
          <w:instrText xml:space="preserve"> PAGEREF _Toc323042157 \h </w:instrText>
        </w:r>
        <w:r w:rsidR="00217D10">
          <w:rPr>
            <w:noProof/>
            <w:webHidden/>
          </w:rPr>
        </w:r>
        <w:r w:rsidR="00217D10">
          <w:rPr>
            <w:noProof/>
            <w:webHidden/>
          </w:rPr>
          <w:fldChar w:fldCharType="separate"/>
        </w:r>
        <w:r w:rsidR="002E13AC">
          <w:rPr>
            <w:noProof/>
            <w:webHidden/>
          </w:rPr>
          <w:t>3</w:t>
        </w:r>
        <w:r w:rsidR="00217D10">
          <w:rPr>
            <w:noProof/>
            <w:webHidden/>
          </w:rPr>
          <w:fldChar w:fldCharType="end"/>
        </w:r>
      </w:hyperlink>
    </w:p>
    <w:p w:rsidR="00217D10" w:rsidRDefault="00C078B1">
      <w:pPr>
        <w:pStyle w:val="TDC1"/>
        <w:tabs>
          <w:tab w:val="left" w:pos="440"/>
          <w:tab w:val="right" w:leader="dot" w:pos="9962"/>
        </w:tabs>
        <w:rPr>
          <w:rFonts w:asciiTheme="minorHAnsi" w:eastAsiaTheme="minorEastAsia" w:hAnsiTheme="minorHAnsi" w:cstheme="minorBidi"/>
          <w:noProof/>
          <w:lang w:val="es-CO" w:eastAsia="es-CO"/>
        </w:rPr>
      </w:pPr>
      <w:hyperlink w:anchor="_Toc323042158" w:history="1">
        <w:r w:rsidR="00217D10" w:rsidRPr="00AD1F73">
          <w:rPr>
            <w:rStyle w:val="Hipervnculo"/>
            <w:noProof/>
            <w:lang w:val="es-MX"/>
          </w:rPr>
          <w:t>4.</w:t>
        </w:r>
        <w:r w:rsidR="00217D10">
          <w:rPr>
            <w:rFonts w:asciiTheme="minorHAnsi" w:eastAsiaTheme="minorEastAsia" w:hAnsiTheme="minorHAnsi" w:cstheme="minorBidi"/>
            <w:noProof/>
            <w:lang w:val="es-CO" w:eastAsia="es-CO"/>
          </w:rPr>
          <w:tab/>
        </w:r>
        <w:r w:rsidR="00217D10" w:rsidRPr="00AD1F73">
          <w:rPr>
            <w:rStyle w:val="Hipervnculo"/>
            <w:noProof/>
            <w:lang w:val="es-MX"/>
          </w:rPr>
          <w:t>PROPUESTA</w:t>
        </w:r>
        <w:r w:rsidR="00217D10">
          <w:rPr>
            <w:noProof/>
            <w:webHidden/>
          </w:rPr>
          <w:tab/>
        </w:r>
        <w:r w:rsidR="00217D10">
          <w:rPr>
            <w:noProof/>
            <w:webHidden/>
          </w:rPr>
          <w:fldChar w:fldCharType="begin"/>
        </w:r>
        <w:r w:rsidR="00217D10">
          <w:rPr>
            <w:noProof/>
            <w:webHidden/>
          </w:rPr>
          <w:instrText xml:space="preserve"> PAGEREF _Toc323042158 \h </w:instrText>
        </w:r>
        <w:r w:rsidR="00217D10">
          <w:rPr>
            <w:noProof/>
            <w:webHidden/>
          </w:rPr>
        </w:r>
        <w:r w:rsidR="00217D10">
          <w:rPr>
            <w:noProof/>
            <w:webHidden/>
          </w:rPr>
          <w:fldChar w:fldCharType="separate"/>
        </w:r>
        <w:r w:rsidR="002E13AC">
          <w:rPr>
            <w:noProof/>
            <w:webHidden/>
          </w:rPr>
          <w:t>3</w:t>
        </w:r>
        <w:r w:rsidR="00217D10">
          <w:rPr>
            <w:noProof/>
            <w:webHidden/>
          </w:rPr>
          <w:fldChar w:fldCharType="end"/>
        </w:r>
      </w:hyperlink>
    </w:p>
    <w:p w:rsidR="00217D10" w:rsidRDefault="00C078B1">
      <w:pPr>
        <w:pStyle w:val="TDC1"/>
        <w:tabs>
          <w:tab w:val="left" w:pos="660"/>
          <w:tab w:val="right" w:leader="dot" w:pos="9962"/>
        </w:tabs>
        <w:rPr>
          <w:rFonts w:asciiTheme="minorHAnsi" w:eastAsiaTheme="minorEastAsia" w:hAnsiTheme="minorHAnsi" w:cstheme="minorBidi"/>
          <w:noProof/>
          <w:lang w:val="es-CO" w:eastAsia="es-CO"/>
        </w:rPr>
      </w:pPr>
      <w:hyperlink w:anchor="_Toc323042159" w:history="1">
        <w:r w:rsidR="00217D10" w:rsidRPr="00AD1F73">
          <w:rPr>
            <w:rStyle w:val="Hipervnculo"/>
            <w:rFonts w:cs="Calibri"/>
            <w:noProof/>
            <w:lang w:val="es-MX"/>
          </w:rPr>
          <w:t>4.1</w:t>
        </w:r>
        <w:r w:rsidR="00217D10">
          <w:rPr>
            <w:rFonts w:asciiTheme="minorHAnsi" w:eastAsiaTheme="minorEastAsia" w:hAnsiTheme="minorHAnsi" w:cstheme="minorBidi"/>
            <w:noProof/>
            <w:lang w:val="es-CO" w:eastAsia="es-CO"/>
          </w:rPr>
          <w:tab/>
        </w:r>
        <w:r w:rsidR="00217D10" w:rsidRPr="00AD1F73">
          <w:rPr>
            <w:rStyle w:val="Hipervnculo"/>
            <w:rFonts w:cs="Calibri"/>
            <w:noProof/>
            <w:lang w:val="es-MX"/>
          </w:rPr>
          <w:t>ANALISIS TÉCNICO</w:t>
        </w:r>
        <w:r w:rsidR="00217D10">
          <w:rPr>
            <w:noProof/>
            <w:webHidden/>
          </w:rPr>
          <w:tab/>
        </w:r>
        <w:r w:rsidR="00217D10">
          <w:rPr>
            <w:noProof/>
            <w:webHidden/>
          </w:rPr>
          <w:fldChar w:fldCharType="begin"/>
        </w:r>
        <w:r w:rsidR="00217D10">
          <w:rPr>
            <w:noProof/>
            <w:webHidden/>
          </w:rPr>
          <w:instrText xml:space="preserve"> PAGEREF _Toc323042159 \h </w:instrText>
        </w:r>
        <w:r w:rsidR="00217D10">
          <w:rPr>
            <w:noProof/>
            <w:webHidden/>
          </w:rPr>
        </w:r>
        <w:r w:rsidR="00217D10">
          <w:rPr>
            <w:noProof/>
            <w:webHidden/>
          </w:rPr>
          <w:fldChar w:fldCharType="separate"/>
        </w:r>
        <w:r w:rsidR="002E13AC">
          <w:rPr>
            <w:noProof/>
            <w:webHidden/>
          </w:rPr>
          <w:t>3</w:t>
        </w:r>
        <w:r w:rsidR="00217D10">
          <w:rPr>
            <w:noProof/>
            <w:webHidden/>
          </w:rPr>
          <w:fldChar w:fldCharType="end"/>
        </w:r>
      </w:hyperlink>
    </w:p>
    <w:p w:rsidR="00217D10" w:rsidRDefault="00C078B1">
      <w:pPr>
        <w:pStyle w:val="TDC1"/>
        <w:tabs>
          <w:tab w:val="left" w:pos="660"/>
          <w:tab w:val="right" w:leader="dot" w:pos="9962"/>
        </w:tabs>
        <w:rPr>
          <w:rFonts w:asciiTheme="minorHAnsi" w:eastAsiaTheme="minorEastAsia" w:hAnsiTheme="minorHAnsi" w:cstheme="minorBidi"/>
          <w:noProof/>
          <w:lang w:val="es-CO" w:eastAsia="es-CO"/>
        </w:rPr>
      </w:pPr>
      <w:hyperlink w:anchor="_Toc323042160" w:history="1">
        <w:r w:rsidR="00217D10" w:rsidRPr="00AD1F73">
          <w:rPr>
            <w:rStyle w:val="Hipervnculo"/>
            <w:rFonts w:cs="Calibri"/>
            <w:noProof/>
            <w:lang w:val="es-MX"/>
          </w:rPr>
          <w:t>4.2</w:t>
        </w:r>
        <w:r w:rsidR="00217D10">
          <w:rPr>
            <w:rFonts w:asciiTheme="minorHAnsi" w:eastAsiaTheme="minorEastAsia" w:hAnsiTheme="minorHAnsi" w:cstheme="minorBidi"/>
            <w:noProof/>
            <w:lang w:val="es-CO" w:eastAsia="es-CO"/>
          </w:rPr>
          <w:tab/>
        </w:r>
        <w:r w:rsidR="00217D10" w:rsidRPr="00AD1F73">
          <w:rPr>
            <w:rStyle w:val="Hipervnculo"/>
            <w:rFonts w:cs="Calibri"/>
            <w:noProof/>
            <w:lang w:val="es-MX"/>
          </w:rPr>
          <w:t>ANÁLISIS JURIDICO</w:t>
        </w:r>
        <w:r w:rsidR="00217D10">
          <w:rPr>
            <w:noProof/>
            <w:webHidden/>
          </w:rPr>
          <w:tab/>
        </w:r>
        <w:r w:rsidR="00217D10">
          <w:rPr>
            <w:noProof/>
            <w:webHidden/>
          </w:rPr>
          <w:fldChar w:fldCharType="begin"/>
        </w:r>
        <w:r w:rsidR="00217D10">
          <w:rPr>
            <w:noProof/>
            <w:webHidden/>
          </w:rPr>
          <w:instrText xml:space="preserve"> PAGEREF _Toc323042160 \h </w:instrText>
        </w:r>
        <w:r w:rsidR="00217D10">
          <w:rPr>
            <w:noProof/>
            <w:webHidden/>
          </w:rPr>
        </w:r>
        <w:r w:rsidR="00217D10">
          <w:rPr>
            <w:noProof/>
            <w:webHidden/>
          </w:rPr>
          <w:fldChar w:fldCharType="separate"/>
        </w:r>
        <w:r w:rsidR="002E13AC">
          <w:rPr>
            <w:noProof/>
            <w:webHidden/>
          </w:rPr>
          <w:t>8</w:t>
        </w:r>
        <w:r w:rsidR="00217D10">
          <w:rPr>
            <w:noProof/>
            <w:webHidden/>
          </w:rPr>
          <w:fldChar w:fldCharType="end"/>
        </w:r>
      </w:hyperlink>
    </w:p>
    <w:p w:rsidR="00217D10" w:rsidRDefault="00C078B1">
      <w:pPr>
        <w:pStyle w:val="TDC1"/>
        <w:tabs>
          <w:tab w:val="left" w:pos="440"/>
          <w:tab w:val="right" w:leader="dot" w:pos="9962"/>
        </w:tabs>
        <w:rPr>
          <w:rFonts w:asciiTheme="minorHAnsi" w:eastAsiaTheme="minorEastAsia" w:hAnsiTheme="minorHAnsi" w:cstheme="minorBidi"/>
          <w:noProof/>
          <w:lang w:val="es-CO" w:eastAsia="es-CO"/>
        </w:rPr>
      </w:pPr>
      <w:hyperlink w:anchor="_Toc323042161" w:history="1">
        <w:r w:rsidR="00217D10" w:rsidRPr="00AD1F73">
          <w:rPr>
            <w:rStyle w:val="Hipervnculo"/>
            <w:noProof/>
            <w:lang w:val="es-MX"/>
          </w:rPr>
          <w:t>5.</w:t>
        </w:r>
        <w:r w:rsidR="00217D10">
          <w:rPr>
            <w:rFonts w:asciiTheme="minorHAnsi" w:eastAsiaTheme="minorEastAsia" w:hAnsiTheme="minorHAnsi" w:cstheme="minorBidi"/>
            <w:noProof/>
            <w:lang w:val="es-CO" w:eastAsia="es-CO"/>
          </w:rPr>
          <w:tab/>
        </w:r>
        <w:r w:rsidR="00217D10" w:rsidRPr="00AD1F73">
          <w:rPr>
            <w:rStyle w:val="Hipervnculo"/>
            <w:noProof/>
            <w:lang w:val="es-MX"/>
          </w:rPr>
          <w:t>IMPACTO.</w:t>
        </w:r>
        <w:r w:rsidR="00217D10">
          <w:rPr>
            <w:noProof/>
            <w:webHidden/>
          </w:rPr>
          <w:tab/>
        </w:r>
        <w:r w:rsidR="00217D10">
          <w:rPr>
            <w:noProof/>
            <w:webHidden/>
          </w:rPr>
          <w:fldChar w:fldCharType="begin"/>
        </w:r>
        <w:r w:rsidR="00217D10">
          <w:rPr>
            <w:noProof/>
            <w:webHidden/>
          </w:rPr>
          <w:instrText xml:space="preserve"> PAGEREF _Toc323042161 \h </w:instrText>
        </w:r>
        <w:r w:rsidR="00217D10">
          <w:rPr>
            <w:noProof/>
            <w:webHidden/>
          </w:rPr>
        </w:r>
        <w:r w:rsidR="00217D10">
          <w:rPr>
            <w:noProof/>
            <w:webHidden/>
          </w:rPr>
          <w:fldChar w:fldCharType="separate"/>
        </w:r>
        <w:r w:rsidR="002E13AC">
          <w:rPr>
            <w:noProof/>
            <w:webHidden/>
          </w:rPr>
          <w:t>12</w:t>
        </w:r>
        <w:r w:rsidR="00217D10">
          <w:rPr>
            <w:noProof/>
            <w:webHidden/>
          </w:rPr>
          <w:fldChar w:fldCharType="end"/>
        </w:r>
      </w:hyperlink>
    </w:p>
    <w:p w:rsidR="00217D10" w:rsidRDefault="00C078B1">
      <w:pPr>
        <w:pStyle w:val="TDC1"/>
        <w:tabs>
          <w:tab w:val="left" w:pos="440"/>
          <w:tab w:val="right" w:leader="dot" w:pos="9962"/>
        </w:tabs>
        <w:rPr>
          <w:rFonts w:asciiTheme="minorHAnsi" w:eastAsiaTheme="minorEastAsia" w:hAnsiTheme="minorHAnsi" w:cstheme="minorBidi"/>
          <w:noProof/>
          <w:lang w:val="es-CO" w:eastAsia="es-CO"/>
        </w:rPr>
      </w:pPr>
      <w:hyperlink w:anchor="_Toc323042162" w:history="1">
        <w:r w:rsidR="00217D10" w:rsidRPr="00AD1F73">
          <w:rPr>
            <w:rStyle w:val="Hipervnculo"/>
            <w:noProof/>
            <w:lang w:val="es-MX"/>
          </w:rPr>
          <w:t>6.</w:t>
        </w:r>
        <w:r w:rsidR="00217D10">
          <w:rPr>
            <w:rFonts w:asciiTheme="minorHAnsi" w:eastAsiaTheme="minorEastAsia" w:hAnsiTheme="minorHAnsi" w:cstheme="minorBidi"/>
            <w:noProof/>
            <w:lang w:val="es-CO" w:eastAsia="es-CO"/>
          </w:rPr>
          <w:tab/>
        </w:r>
        <w:r w:rsidR="00217D10" w:rsidRPr="00AD1F73">
          <w:rPr>
            <w:rStyle w:val="Hipervnculo"/>
            <w:noProof/>
            <w:lang w:val="es-MX"/>
          </w:rPr>
          <w:t>CONCLUSIONES.</w:t>
        </w:r>
        <w:r w:rsidR="00217D10">
          <w:rPr>
            <w:noProof/>
            <w:webHidden/>
          </w:rPr>
          <w:tab/>
        </w:r>
        <w:r w:rsidR="00217D10">
          <w:rPr>
            <w:noProof/>
            <w:webHidden/>
          </w:rPr>
          <w:fldChar w:fldCharType="begin"/>
        </w:r>
        <w:r w:rsidR="00217D10">
          <w:rPr>
            <w:noProof/>
            <w:webHidden/>
          </w:rPr>
          <w:instrText xml:space="preserve"> PAGEREF _Toc323042162 \h </w:instrText>
        </w:r>
        <w:r w:rsidR="00217D10">
          <w:rPr>
            <w:noProof/>
            <w:webHidden/>
          </w:rPr>
        </w:r>
        <w:r w:rsidR="00217D10">
          <w:rPr>
            <w:noProof/>
            <w:webHidden/>
          </w:rPr>
          <w:fldChar w:fldCharType="separate"/>
        </w:r>
        <w:r w:rsidR="002E13AC">
          <w:rPr>
            <w:noProof/>
            <w:webHidden/>
          </w:rPr>
          <w:t>13</w:t>
        </w:r>
        <w:r w:rsidR="00217D10">
          <w:rPr>
            <w:noProof/>
            <w:webHidden/>
          </w:rPr>
          <w:fldChar w:fldCharType="end"/>
        </w:r>
      </w:hyperlink>
    </w:p>
    <w:p w:rsidR="00217D10" w:rsidRDefault="00C078B1">
      <w:pPr>
        <w:pStyle w:val="TDC1"/>
        <w:tabs>
          <w:tab w:val="left" w:pos="440"/>
          <w:tab w:val="right" w:leader="dot" w:pos="9962"/>
        </w:tabs>
        <w:rPr>
          <w:rFonts w:asciiTheme="minorHAnsi" w:eastAsiaTheme="minorEastAsia" w:hAnsiTheme="minorHAnsi" w:cstheme="minorBidi"/>
          <w:noProof/>
          <w:lang w:val="es-CO" w:eastAsia="es-CO"/>
        </w:rPr>
      </w:pPr>
      <w:hyperlink w:anchor="_Toc323042163" w:history="1">
        <w:r w:rsidR="00217D10" w:rsidRPr="00AD1F73">
          <w:rPr>
            <w:rStyle w:val="Hipervnculo"/>
            <w:noProof/>
            <w:lang w:val="es-MX"/>
          </w:rPr>
          <w:t>7.</w:t>
        </w:r>
        <w:r w:rsidR="00217D10">
          <w:rPr>
            <w:rFonts w:asciiTheme="minorHAnsi" w:eastAsiaTheme="minorEastAsia" w:hAnsiTheme="minorHAnsi" w:cstheme="minorBidi"/>
            <w:noProof/>
            <w:lang w:val="es-CO" w:eastAsia="es-CO"/>
          </w:rPr>
          <w:tab/>
        </w:r>
        <w:r w:rsidR="00217D10" w:rsidRPr="00AD1F73">
          <w:rPr>
            <w:rStyle w:val="Hipervnculo"/>
            <w:noProof/>
            <w:lang w:val="es-MX"/>
          </w:rPr>
          <w:t>RECOMENDACIONES.</w:t>
        </w:r>
        <w:r w:rsidR="00217D10">
          <w:rPr>
            <w:noProof/>
            <w:webHidden/>
          </w:rPr>
          <w:tab/>
        </w:r>
        <w:r w:rsidR="00217D10">
          <w:rPr>
            <w:noProof/>
            <w:webHidden/>
          </w:rPr>
          <w:fldChar w:fldCharType="begin"/>
        </w:r>
        <w:r w:rsidR="00217D10">
          <w:rPr>
            <w:noProof/>
            <w:webHidden/>
          </w:rPr>
          <w:instrText xml:space="preserve"> PAGEREF _Toc323042163 \h </w:instrText>
        </w:r>
        <w:r w:rsidR="00217D10">
          <w:rPr>
            <w:noProof/>
            <w:webHidden/>
          </w:rPr>
        </w:r>
        <w:r w:rsidR="00217D10">
          <w:rPr>
            <w:noProof/>
            <w:webHidden/>
          </w:rPr>
          <w:fldChar w:fldCharType="separate"/>
        </w:r>
        <w:r w:rsidR="002E13AC">
          <w:rPr>
            <w:noProof/>
            <w:webHidden/>
          </w:rPr>
          <w:t>13</w:t>
        </w:r>
        <w:r w:rsidR="00217D10">
          <w:rPr>
            <w:noProof/>
            <w:webHidden/>
          </w:rPr>
          <w:fldChar w:fldCharType="end"/>
        </w:r>
      </w:hyperlink>
    </w:p>
    <w:p w:rsidR="000D181A" w:rsidRDefault="00C5090C" w:rsidP="008C0BD5">
      <w:pPr>
        <w:spacing w:after="0" w:line="240" w:lineRule="auto"/>
        <w:jc w:val="both"/>
        <w:rPr>
          <w:sz w:val="24"/>
          <w:szCs w:val="24"/>
          <w:lang w:val="es-MX"/>
        </w:rPr>
      </w:pPr>
      <w:r>
        <w:rPr>
          <w:sz w:val="24"/>
          <w:szCs w:val="24"/>
          <w:lang w:val="es-MX"/>
        </w:rPr>
        <w:fldChar w:fldCharType="end"/>
      </w:r>
    </w:p>
    <w:p w:rsidR="008D1263" w:rsidRPr="005C0368" w:rsidRDefault="00AA7A4C" w:rsidP="00C5090C">
      <w:pPr>
        <w:pStyle w:val="Ttulo1"/>
        <w:rPr>
          <w:lang w:val="es-MX"/>
        </w:rPr>
      </w:pPr>
      <w:bookmarkStart w:id="0" w:name="_Toc323042155"/>
      <w:r>
        <w:rPr>
          <w:lang w:val="es-MX"/>
        </w:rPr>
        <w:lastRenderedPageBreak/>
        <w:t>INTRODUCCIÓN</w:t>
      </w:r>
      <w:r w:rsidR="000D181A" w:rsidRPr="005C0368">
        <w:rPr>
          <w:lang w:val="es-MX"/>
        </w:rPr>
        <w:t>.</w:t>
      </w:r>
      <w:bookmarkEnd w:id="0"/>
    </w:p>
    <w:p w:rsidR="001E694F" w:rsidRDefault="001E694F" w:rsidP="000D181A">
      <w:pPr>
        <w:tabs>
          <w:tab w:val="num" w:pos="284"/>
        </w:tabs>
        <w:spacing w:after="0" w:line="240" w:lineRule="auto"/>
        <w:ind w:left="284" w:hanging="284"/>
        <w:jc w:val="both"/>
        <w:rPr>
          <w:rFonts w:cs="Arial"/>
          <w:lang w:val="es-MX"/>
        </w:rPr>
      </w:pPr>
    </w:p>
    <w:p w:rsidR="000237CB" w:rsidRDefault="000237CB" w:rsidP="00C5090C">
      <w:pPr>
        <w:spacing w:after="0" w:line="240" w:lineRule="auto"/>
        <w:jc w:val="both"/>
      </w:pPr>
      <w:r>
        <w:t>En relación con la posibilidad de actualización de las tarifas de los servicios públicos domiciliarios, el artículo 125 de la Ley 142 de 1994, establece:</w:t>
      </w:r>
    </w:p>
    <w:p w:rsidR="000237CB" w:rsidRDefault="000237CB" w:rsidP="00C5090C">
      <w:pPr>
        <w:spacing w:after="0" w:line="240" w:lineRule="auto"/>
        <w:jc w:val="both"/>
      </w:pPr>
    </w:p>
    <w:p w:rsidR="000237CB" w:rsidRPr="000237CB" w:rsidRDefault="009F2E68" w:rsidP="000237CB">
      <w:pPr>
        <w:spacing w:after="0" w:line="240" w:lineRule="auto"/>
        <w:ind w:left="567"/>
        <w:jc w:val="both"/>
        <w:rPr>
          <w:i/>
        </w:rPr>
      </w:pPr>
      <w:r>
        <w:rPr>
          <w:i/>
        </w:rPr>
        <w:t>“</w:t>
      </w:r>
      <w:r w:rsidR="000237CB" w:rsidRPr="000237CB">
        <w:rPr>
          <w:i/>
        </w:rPr>
        <w:t>Durante el período de vigencia de cada fórmula, las empresas podrán actualizar las tarifas que cobran a sus usuarios aplicando las variaciones en los índices de precios que las fórmulas contienen. Las nuevas tarifas se aplicarán a partir del día quince del mes que corresponda, cada vez que se acumule una variación de, por lo menos, un tres por ciento (3%) en alguno de los índices de precios que considera la fórmula.</w:t>
      </w:r>
    </w:p>
    <w:p w:rsidR="000237CB" w:rsidRPr="000237CB" w:rsidRDefault="000237CB" w:rsidP="000237CB">
      <w:pPr>
        <w:spacing w:after="0" w:line="240" w:lineRule="auto"/>
        <w:ind w:left="567"/>
        <w:jc w:val="both"/>
        <w:rPr>
          <w:i/>
        </w:rPr>
      </w:pPr>
    </w:p>
    <w:p w:rsidR="000237CB" w:rsidRPr="000237CB" w:rsidRDefault="000237CB" w:rsidP="000237CB">
      <w:pPr>
        <w:spacing w:after="0" w:line="240" w:lineRule="auto"/>
        <w:ind w:left="567"/>
        <w:jc w:val="both"/>
        <w:rPr>
          <w:i/>
        </w:rPr>
      </w:pPr>
      <w:r w:rsidRPr="000237CB">
        <w:rPr>
          <w:i/>
        </w:rPr>
        <w:t>Cada vez que las empresas de servicios públicos reajusten las tarifas, deberán comunicar los nuevos valores a la Superintendencia de servicios públicos, y a la comisión respectiva. Deberán, además, publicarlos, por una vez, en un periódico que circule en los municipios en donde se presta el servicio, o en uno de circulación nacional</w:t>
      </w:r>
      <w:r w:rsidR="009F2E68">
        <w:rPr>
          <w:i/>
        </w:rPr>
        <w:t>”</w:t>
      </w:r>
      <w:r w:rsidRPr="000237CB">
        <w:rPr>
          <w:i/>
        </w:rPr>
        <w:t>.</w:t>
      </w:r>
    </w:p>
    <w:p w:rsidR="000237CB" w:rsidRDefault="000237CB" w:rsidP="000237CB">
      <w:pPr>
        <w:spacing w:after="0" w:line="240" w:lineRule="auto"/>
        <w:jc w:val="both"/>
      </w:pPr>
    </w:p>
    <w:p w:rsidR="00D460B4" w:rsidRDefault="00D460B4" w:rsidP="000237CB">
      <w:pPr>
        <w:spacing w:after="0" w:line="240" w:lineRule="auto"/>
        <w:jc w:val="both"/>
      </w:pPr>
      <w:r>
        <w:t>En concordancia con lo anterior, la Comisión expidi</w:t>
      </w:r>
      <w:r w:rsidR="00CC7B0E">
        <w:t>ó la</w:t>
      </w:r>
      <w:r>
        <w:t xml:space="preserve"> Resoluci</w:t>
      </w:r>
      <w:r w:rsidR="00CC7B0E">
        <w:t xml:space="preserve">ón CRA 200 de 2001, </w:t>
      </w:r>
      <w:r>
        <w:t xml:space="preserve">en la cual </w:t>
      </w:r>
      <w:r w:rsidR="00CC7B0E">
        <w:t xml:space="preserve">fijó la manera de realizar la </w:t>
      </w:r>
      <w:r w:rsidR="00CC7B0E" w:rsidRPr="00CC7B0E">
        <w:t>actualización de las tarifas de los servicios públicos domiciliarios de acueducto, alcantarillado y aseo</w:t>
      </w:r>
      <w:r w:rsidR="00CC7B0E">
        <w:t>. De igual forma, definió que dicha actualización se realizaba con</w:t>
      </w:r>
      <w:r w:rsidR="001204C3">
        <w:t xml:space="preserve"> base en</w:t>
      </w:r>
      <w:r w:rsidR="00CC7B0E">
        <w:t xml:space="preserve"> </w:t>
      </w:r>
      <w:r w:rsidR="00CC7B0E" w:rsidRPr="00CC7B0E">
        <w:t xml:space="preserve">el </w:t>
      </w:r>
      <w:r w:rsidR="00CC7B0E">
        <w:t>Í</w:t>
      </w:r>
      <w:r w:rsidR="00CC7B0E" w:rsidRPr="00CC7B0E">
        <w:t xml:space="preserve">ndice de Precios al Consumidor – IPC Nacional, establecido por el Departamento Administrativo Nacional de Estadística - DANE.  </w:t>
      </w:r>
    </w:p>
    <w:p w:rsidR="00CC7B0E" w:rsidRDefault="00CC7B0E" w:rsidP="000237CB">
      <w:pPr>
        <w:spacing w:after="0" w:line="240" w:lineRule="auto"/>
        <w:jc w:val="both"/>
      </w:pPr>
    </w:p>
    <w:p w:rsidR="00CC7B0E" w:rsidRDefault="00CC7B0E" w:rsidP="000237CB">
      <w:pPr>
        <w:spacing w:after="0" w:line="240" w:lineRule="auto"/>
        <w:jc w:val="both"/>
      </w:pPr>
      <w:r>
        <w:t xml:space="preserve">Posteriormente, la Comisión expidió </w:t>
      </w:r>
      <w:r w:rsidR="00C5090C">
        <w:t xml:space="preserve">la Resolución CRA 543 de 2011 </w:t>
      </w:r>
      <w:r w:rsidR="00C5090C" w:rsidRPr="008A3772">
        <w:t>“</w:t>
      </w:r>
      <w:r w:rsidR="00C5090C" w:rsidRPr="00F06CAF">
        <w:rPr>
          <w:i/>
        </w:rPr>
        <w:t>Por la cual se establece la metodología para la actualización de tarifas de los servicios públicos domiciliarios de acueducto y alcantarillado, sus actividades complementarias y las actividades que realizan los prestadores de los mismos en los términos de la Ley 142 de 1994</w:t>
      </w:r>
      <w:r w:rsidR="00C5090C" w:rsidRPr="008A3772">
        <w:t>”</w:t>
      </w:r>
      <w:r>
        <w:t xml:space="preserve">. </w:t>
      </w:r>
    </w:p>
    <w:p w:rsidR="00CC7B0E" w:rsidRDefault="00CC7B0E" w:rsidP="000237CB">
      <w:pPr>
        <w:spacing w:after="0" w:line="240" w:lineRule="auto"/>
        <w:jc w:val="both"/>
      </w:pPr>
    </w:p>
    <w:p w:rsidR="006F1BF7" w:rsidRDefault="00CC7B0E" w:rsidP="000237CB">
      <w:pPr>
        <w:spacing w:after="0" w:line="240" w:lineRule="auto"/>
        <w:jc w:val="both"/>
      </w:pPr>
      <w:r>
        <w:t xml:space="preserve">En la citada resolución </w:t>
      </w:r>
      <w:r w:rsidR="00C5090C">
        <w:t>se derogó la Resolución CRA 200 de 2001, y</w:t>
      </w:r>
      <w:r w:rsidR="00810A28">
        <w:t>, se definieron los siguientes aspectos</w:t>
      </w:r>
      <w:r w:rsidR="000B5701">
        <w:t>:</w:t>
      </w:r>
    </w:p>
    <w:p w:rsidR="000B5701" w:rsidRDefault="00C5090C" w:rsidP="000237CB">
      <w:pPr>
        <w:spacing w:after="0" w:line="240" w:lineRule="auto"/>
        <w:jc w:val="both"/>
      </w:pPr>
      <w:r>
        <w:t xml:space="preserve"> </w:t>
      </w:r>
    </w:p>
    <w:p w:rsidR="000B5701" w:rsidRDefault="00C5090C" w:rsidP="000B5701">
      <w:pPr>
        <w:numPr>
          <w:ilvl w:val="0"/>
          <w:numId w:val="22"/>
        </w:numPr>
        <w:spacing w:after="0" w:line="240" w:lineRule="auto"/>
        <w:jc w:val="both"/>
      </w:pPr>
      <w:r>
        <w:t xml:space="preserve">se ratificó el uso del Índice de Precios al Consumidor -IPC como el índice </w:t>
      </w:r>
      <w:r w:rsidRPr="00F06CAF">
        <w:t xml:space="preserve">para la actualización de los costos y tarifas </w:t>
      </w:r>
      <w:r>
        <w:t xml:space="preserve">del sector; </w:t>
      </w:r>
    </w:p>
    <w:p w:rsidR="000B5701" w:rsidRDefault="00C5090C" w:rsidP="000B5701">
      <w:pPr>
        <w:numPr>
          <w:ilvl w:val="0"/>
          <w:numId w:val="22"/>
        </w:numPr>
        <w:spacing w:after="0" w:line="240" w:lineRule="auto"/>
        <w:jc w:val="both"/>
      </w:pPr>
      <w:r>
        <w:t xml:space="preserve">se </w:t>
      </w:r>
      <w:r w:rsidR="000B5701">
        <w:t>aclaró</w:t>
      </w:r>
      <w:r>
        <w:t xml:space="preserve"> el método de actualización a aplicar por los prestadores;  </w:t>
      </w:r>
    </w:p>
    <w:p w:rsidR="000B5701" w:rsidRDefault="00C5090C" w:rsidP="000B5701">
      <w:pPr>
        <w:numPr>
          <w:ilvl w:val="0"/>
          <w:numId w:val="22"/>
        </w:numPr>
        <w:spacing w:after="0" w:line="240" w:lineRule="auto"/>
        <w:jc w:val="both"/>
      </w:pPr>
      <w:r>
        <w:t xml:space="preserve">se definieron lineamientos comunes en relación con el número de decimales a utilizar y los redondeos permitidos y; </w:t>
      </w:r>
    </w:p>
    <w:p w:rsidR="00C5090C" w:rsidRDefault="00C5090C" w:rsidP="000B5701">
      <w:pPr>
        <w:numPr>
          <w:ilvl w:val="0"/>
          <w:numId w:val="22"/>
        </w:numPr>
        <w:spacing w:after="0" w:line="240" w:lineRule="auto"/>
        <w:jc w:val="both"/>
      </w:pPr>
      <w:r>
        <w:t>se fijó un punto de partida común para estimar la acumulación del IPC al 3% aplicable a las tarifas resultantes del nuevo marco tarifario.</w:t>
      </w:r>
    </w:p>
    <w:p w:rsidR="00C5090C" w:rsidRDefault="00C5090C" w:rsidP="00C5090C">
      <w:pPr>
        <w:spacing w:after="0" w:line="240" w:lineRule="auto"/>
        <w:jc w:val="both"/>
      </w:pPr>
    </w:p>
    <w:p w:rsidR="00C5090C" w:rsidRPr="0059155C" w:rsidRDefault="00C5090C" w:rsidP="007276DD">
      <w:pPr>
        <w:spacing w:after="0" w:line="240" w:lineRule="auto"/>
        <w:jc w:val="both"/>
        <w:rPr>
          <w:lang w:val="es-MX"/>
        </w:rPr>
      </w:pPr>
      <w:r w:rsidRPr="0059155C">
        <w:rPr>
          <w:lang w:val="es-MX"/>
        </w:rPr>
        <w:t xml:space="preserve">El </w:t>
      </w:r>
      <w:r w:rsidR="00217D10">
        <w:rPr>
          <w:lang w:val="es-MX"/>
        </w:rPr>
        <w:t>objetivo</w:t>
      </w:r>
      <w:r w:rsidRPr="0059155C">
        <w:rPr>
          <w:lang w:val="es-MX"/>
        </w:rPr>
        <w:t xml:space="preserve"> del </w:t>
      </w:r>
      <w:r w:rsidR="00810A28">
        <w:rPr>
          <w:lang w:val="es-MX"/>
        </w:rPr>
        <w:t xml:space="preserve">presente </w:t>
      </w:r>
      <w:r w:rsidRPr="0059155C">
        <w:rPr>
          <w:lang w:val="es-MX"/>
        </w:rPr>
        <w:t xml:space="preserve">documento </w:t>
      </w:r>
      <w:r w:rsidR="00217D10">
        <w:rPr>
          <w:lang w:val="es-MX"/>
        </w:rPr>
        <w:t>es</w:t>
      </w:r>
      <w:r w:rsidR="00810A28">
        <w:rPr>
          <w:lang w:val="es-MX"/>
        </w:rPr>
        <w:t xml:space="preserve"> revisar </w:t>
      </w:r>
      <w:r w:rsidR="001204C3">
        <w:rPr>
          <w:lang w:val="es-MX"/>
        </w:rPr>
        <w:t>e</w:t>
      </w:r>
      <w:r w:rsidR="007276DD">
        <w:t xml:space="preserve">l procedimiento de actualización de costos y tarifas previsto en el parágrafo del artículo 5 de </w:t>
      </w:r>
      <w:r w:rsidR="00810A28">
        <w:rPr>
          <w:lang w:val="es-MX"/>
        </w:rPr>
        <w:t>la Resolución CRA 543 de 2011</w:t>
      </w:r>
      <w:r>
        <w:rPr>
          <w:lang w:val="es-MX"/>
        </w:rPr>
        <w:t>.</w:t>
      </w:r>
    </w:p>
    <w:p w:rsidR="000D181A" w:rsidRPr="00C5090C" w:rsidRDefault="00AA7A4C" w:rsidP="00BF7D27">
      <w:pPr>
        <w:pStyle w:val="Ttulo1"/>
        <w:rPr>
          <w:lang w:val="es-MX"/>
        </w:rPr>
      </w:pPr>
      <w:bookmarkStart w:id="1" w:name="_Toc323042156"/>
      <w:r w:rsidRPr="00C5090C">
        <w:rPr>
          <w:lang w:val="es-MX"/>
        </w:rPr>
        <w:t>OBJETIVOS</w:t>
      </w:r>
      <w:r w:rsidR="000D181A" w:rsidRPr="00C5090C">
        <w:rPr>
          <w:lang w:val="es-MX"/>
        </w:rPr>
        <w:t>.</w:t>
      </w:r>
      <w:bookmarkEnd w:id="1"/>
      <w:r w:rsidR="000D181A" w:rsidRPr="00C5090C">
        <w:rPr>
          <w:lang w:val="es-MX"/>
        </w:rPr>
        <w:t xml:space="preserve"> </w:t>
      </w:r>
    </w:p>
    <w:p w:rsidR="00AA7A4C" w:rsidRDefault="00AA7A4C" w:rsidP="001E694F">
      <w:pPr>
        <w:tabs>
          <w:tab w:val="num" w:pos="284"/>
        </w:tabs>
        <w:spacing w:after="0" w:line="240" w:lineRule="auto"/>
        <w:ind w:left="284" w:hanging="284"/>
        <w:jc w:val="both"/>
        <w:rPr>
          <w:rFonts w:cs="Arial"/>
          <w:lang w:val="es-MX"/>
        </w:rPr>
      </w:pPr>
    </w:p>
    <w:p w:rsidR="000D181A" w:rsidRDefault="00810A28" w:rsidP="000237CB">
      <w:pPr>
        <w:spacing w:after="0" w:line="240" w:lineRule="auto"/>
        <w:jc w:val="both"/>
        <w:rPr>
          <w:sz w:val="24"/>
          <w:szCs w:val="24"/>
          <w:lang w:val="es-MX"/>
        </w:rPr>
      </w:pPr>
      <w:r>
        <w:rPr>
          <w:lang w:val="es-MX"/>
        </w:rPr>
        <w:t>Establecer</w:t>
      </w:r>
      <w:r w:rsidR="00C5090C">
        <w:rPr>
          <w:lang w:val="es-MX"/>
        </w:rPr>
        <w:t xml:space="preserve"> </w:t>
      </w:r>
      <w:r>
        <w:rPr>
          <w:lang w:val="es-MX"/>
        </w:rPr>
        <w:t xml:space="preserve">la necesidad de implementar revisiones </w:t>
      </w:r>
      <w:r w:rsidR="00C5090C">
        <w:rPr>
          <w:lang w:val="es-MX"/>
        </w:rPr>
        <w:t>técnic</w:t>
      </w:r>
      <w:r>
        <w:rPr>
          <w:lang w:val="es-MX"/>
        </w:rPr>
        <w:t>a</w:t>
      </w:r>
      <w:r w:rsidR="00C5090C">
        <w:rPr>
          <w:lang w:val="es-MX"/>
        </w:rPr>
        <w:t>s y jurídic</w:t>
      </w:r>
      <w:r>
        <w:rPr>
          <w:lang w:val="es-MX"/>
        </w:rPr>
        <w:t>a</w:t>
      </w:r>
      <w:r w:rsidR="00C5090C">
        <w:rPr>
          <w:lang w:val="es-MX"/>
        </w:rPr>
        <w:t xml:space="preserve">s </w:t>
      </w:r>
      <w:r>
        <w:rPr>
          <w:lang w:val="es-MX"/>
        </w:rPr>
        <w:t xml:space="preserve">tendientes a </w:t>
      </w:r>
      <w:r w:rsidR="00C5090C">
        <w:rPr>
          <w:lang w:val="es-MX"/>
        </w:rPr>
        <w:t xml:space="preserve">despejar inquietudes existentes en relación con el número de decimales al que debe ser redondeado el factor de actualización </w:t>
      </w:r>
      <w:proofErr w:type="spellStart"/>
      <w:r w:rsidR="00C5090C">
        <w:rPr>
          <w:lang w:val="es-MX"/>
        </w:rPr>
        <w:t>FAipc</w:t>
      </w:r>
      <w:proofErr w:type="spellEnd"/>
      <w:r w:rsidR="00C5090C">
        <w:rPr>
          <w:lang w:val="es-MX"/>
        </w:rPr>
        <w:t>, incorporado en el parágrafo del artículo 5 de la Resolución CRA 543 de 2011.</w:t>
      </w:r>
    </w:p>
    <w:p w:rsidR="000D181A" w:rsidRPr="00C5090C" w:rsidRDefault="00AA7A4C" w:rsidP="00BF7D27">
      <w:pPr>
        <w:pStyle w:val="Ttulo1"/>
        <w:rPr>
          <w:lang w:val="es-MX"/>
        </w:rPr>
      </w:pPr>
      <w:bookmarkStart w:id="2" w:name="_Toc323042157"/>
      <w:r w:rsidRPr="00C5090C">
        <w:rPr>
          <w:lang w:val="es-MX"/>
        </w:rPr>
        <w:lastRenderedPageBreak/>
        <w:t>JUSTIFICACIÓN</w:t>
      </w:r>
      <w:r w:rsidR="000D181A" w:rsidRPr="00C5090C">
        <w:rPr>
          <w:lang w:val="es-MX"/>
        </w:rPr>
        <w:t>.</w:t>
      </w:r>
      <w:bookmarkEnd w:id="2"/>
    </w:p>
    <w:p w:rsidR="000D181A" w:rsidRDefault="000D181A" w:rsidP="000D181A">
      <w:pPr>
        <w:spacing w:after="0" w:line="240" w:lineRule="auto"/>
        <w:jc w:val="both"/>
        <w:rPr>
          <w:sz w:val="24"/>
          <w:szCs w:val="24"/>
          <w:lang w:val="es-MX"/>
        </w:rPr>
      </w:pPr>
    </w:p>
    <w:p w:rsidR="00C5090C" w:rsidRDefault="00800EC9" w:rsidP="00C5090C">
      <w:pPr>
        <w:spacing w:after="0" w:line="240" w:lineRule="auto"/>
        <w:jc w:val="both"/>
      </w:pPr>
      <w:r>
        <w:rPr>
          <w:lang w:val="es-MX"/>
        </w:rPr>
        <w:t xml:space="preserve">Mediante </w:t>
      </w:r>
      <w:r w:rsidR="00C5090C">
        <w:t>oficios con radicados CRA 20113210039012 del 8 de ju</w:t>
      </w:r>
      <w:r w:rsidR="009A1CB8">
        <w:t>l</w:t>
      </w:r>
      <w:r w:rsidR="00C5090C">
        <w:t xml:space="preserve">io de 2011 y </w:t>
      </w:r>
      <w:r w:rsidR="00C5090C">
        <w:rPr>
          <w:rFonts w:cs="Arial"/>
        </w:rPr>
        <w:t>CRA 20123210005792 del 31 de enero de 2012</w:t>
      </w:r>
      <w:r>
        <w:rPr>
          <w:rFonts w:cs="Arial"/>
        </w:rPr>
        <w:t>,</w:t>
      </w:r>
      <w:r w:rsidR="00C5090C">
        <w:rPr>
          <w:rFonts w:cs="Arial"/>
        </w:rPr>
        <w:t xml:space="preserve"> </w:t>
      </w:r>
      <w:r w:rsidR="00C61B09">
        <w:rPr>
          <w:rFonts w:cs="Arial"/>
        </w:rPr>
        <w:t xml:space="preserve">la Empresa de Acueducto y Alcantarillado de Bogotá EAAB SA ESP y el ciudadano Alejandro Zapata Roldán, </w:t>
      </w:r>
      <w:r w:rsidR="00C5090C">
        <w:rPr>
          <w:rFonts w:cs="Arial"/>
        </w:rPr>
        <w:t xml:space="preserve"> presentaron inquietudes relacionadas con el número de decimales al que se debe redondear el factor de actualización por IPC (</w:t>
      </w:r>
      <w:proofErr w:type="spellStart"/>
      <w:r w:rsidR="00C5090C">
        <w:rPr>
          <w:rFonts w:cs="Arial"/>
        </w:rPr>
        <w:t>FAipc</w:t>
      </w:r>
      <w:proofErr w:type="spellEnd"/>
      <w:r w:rsidR="00C5090C">
        <w:rPr>
          <w:rFonts w:cs="Arial"/>
        </w:rPr>
        <w:t xml:space="preserve">), </w:t>
      </w:r>
      <w:r w:rsidR="00C61B09">
        <w:rPr>
          <w:rFonts w:cs="Arial"/>
        </w:rPr>
        <w:t>para la aplicación de</w:t>
      </w:r>
      <w:r w:rsidR="00C5090C">
        <w:rPr>
          <w:rFonts w:cs="Arial"/>
        </w:rPr>
        <w:t xml:space="preserve"> la fórmula de artículo 3 de la Resolución </w:t>
      </w:r>
      <w:r w:rsidR="00C61B09">
        <w:rPr>
          <w:rFonts w:cs="Arial"/>
        </w:rPr>
        <w:t>CRA 543 de 2011</w:t>
      </w:r>
      <w:r w:rsidR="00C5090C">
        <w:rPr>
          <w:rFonts w:cs="Arial"/>
        </w:rPr>
        <w:t>.</w:t>
      </w:r>
      <w:r w:rsidR="00C5090C">
        <w:t xml:space="preserve"> Bajo este entendido, el presente documento de trabajo tiene como finalidad analizar dichas inquietudes y determinar los mecanismos técnicos y jurídicos a que haya lugar para disipar las dudas que existan sobre este aspecto del procedimiento de actualización de costos y tarifas.</w:t>
      </w:r>
    </w:p>
    <w:p w:rsidR="000D181A" w:rsidRPr="00C5090C" w:rsidRDefault="00AA7A4C" w:rsidP="00BF7D27">
      <w:pPr>
        <w:pStyle w:val="Ttulo1"/>
        <w:rPr>
          <w:lang w:val="es-MX"/>
        </w:rPr>
      </w:pPr>
      <w:bookmarkStart w:id="3" w:name="_Toc323042158"/>
      <w:r w:rsidRPr="00C5090C">
        <w:rPr>
          <w:lang w:val="es-MX"/>
        </w:rPr>
        <w:t>PROPUESTA</w:t>
      </w:r>
      <w:bookmarkEnd w:id="3"/>
      <w:r w:rsidR="005B0E69" w:rsidRPr="00C5090C">
        <w:rPr>
          <w:lang w:val="es-MX"/>
        </w:rPr>
        <w:t xml:space="preserve"> </w:t>
      </w:r>
    </w:p>
    <w:p w:rsidR="00C5090C" w:rsidRPr="00C5090C" w:rsidRDefault="000237CB" w:rsidP="00BF7D27">
      <w:pPr>
        <w:pStyle w:val="Ttulo1"/>
        <w:keepNext w:val="0"/>
        <w:keepLines w:val="0"/>
        <w:numPr>
          <w:ilvl w:val="1"/>
          <w:numId w:val="7"/>
        </w:numPr>
        <w:suppressAutoHyphens w:val="0"/>
        <w:spacing w:before="300" w:line="240" w:lineRule="auto"/>
        <w:jc w:val="both"/>
        <w:rPr>
          <w:rFonts w:cs="Calibri"/>
          <w:szCs w:val="22"/>
          <w:lang w:val="es-MX"/>
        </w:rPr>
      </w:pPr>
      <w:bookmarkStart w:id="4" w:name="_Toc320625172"/>
      <w:bookmarkStart w:id="5" w:name="_Toc323042159"/>
      <w:r>
        <w:rPr>
          <w:rFonts w:cs="Calibri"/>
          <w:szCs w:val="22"/>
          <w:lang w:val="es-MX"/>
        </w:rPr>
        <w:t xml:space="preserve">ANALISIS </w:t>
      </w:r>
      <w:r w:rsidR="00C5090C" w:rsidRPr="00C5090C">
        <w:rPr>
          <w:rFonts w:cs="Calibri"/>
          <w:szCs w:val="22"/>
          <w:lang w:val="es-MX"/>
        </w:rPr>
        <w:t>TÉCNICO</w:t>
      </w:r>
      <w:bookmarkEnd w:id="4"/>
      <w:bookmarkEnd w:id="5"/>
    </w:p>
    <w:p w:rsidR="00C5090C" w:rsidRDefault="00C5090C" w:rsidP="00C5090C">
      <w:pPr>
        <w:spacing w:after="0" w:line="240" w:lineRule="auto"/>
        <w:jc w:val="both"/>
        <w:rPr>
          <w:lang w:val="es-MX"/>
        </w:rPr>
      </w:pPr>
    </w:p>
    <w:p w:rsidR="00C5090C" w:rsidRDefault="00C61B09" w:rsidP="00C5090C">
      <w:pPr>
        <w:spacing w:after="0" w:line="240" w:lineRule="auto"/>
        <w:jc w:val="both"/>
        <w:rPr>
          <w:lang w:val="es-MX"/>
        </w:rPr>
      </w:pPr>
      <w:r>
        <w:rPr>
          <w:lang w:val="es-MX"/>
        </w:rPr>
        <w:t xml:space="preserve">Mediante oficio </w:t>
      </w:r>
      <w:r w:rsidR="00C5090C" w:rsidRPr="00B92CCA">
        <w:rPr>
          <w:lang w:val="es-MX"/>
        </w:rPr>
        <w:t>con radicado CRA 211-321-</w:t>
      </w:r>
      <w:r>
        <w:rPr>
          <w:lang w:val="es-MX"/>
        </w:rPr>
        <w:t>003901-2 del 8 de julio de 2011,</w:t>
      </w:r>
      <w:r w:rsidR="00C5090C" w:rsidRPr="00B92CCA">
        <w:rPr>
          <w:lang w:val="es-MX"/>
        </w:rPr>
        <w:t xml:space="preserve"> la Empresa de Acuedu</w:t>
      </w:r>
      <w:r>
        <w:rPr>
          <w:lang w:val="es-MX"/>
        </w:rPr>
        <w:t xml:space="preserve">cto y Alcantarillado de Bogotá EAAB SA ESP </w:t>
      </w:r>
      <w:r w:rsidR="009E1A58">
        <w:rPr>
          <w:lang w:val="es-MX"/>
        </w:rPr>
        <w:t>manifestó</w:t>
      </w:r>
      <w:r w:rsidR="00C5090C" w:rsidRPr="00B92CCA">
        <w:rPr>
          <w:lang w:val="es-MX"/>
        </w:rPr>
        <w:t>:</w:t>
      </w:r>
    </w:p>
    <w:p w:rsidR="00C5090C" w:rsidRPr="00B92CCA" w:rsidRDefault="00C5090C" w:rsidP="00C5090C">
      <w:pPr>
        <w:spacing w:after="0" w:line="240" w:lineRule="auto"/>
        <w:jc w:val="both"/>
        <w:rPr>
          <w:lang w:val="es-MX"/>
        </w:rPr>
      </w:pPr>
    </w:p>
    <w:p w:rsidR="00C5090C" w:rsidRPr="00D8564B" w:rsidRDefault="00C5090C" w:rsidP="00C5090C">
      <w:pPr>
        <w:spacing w:after="0" w:line="240" w:lineRule="auto"/>
        <w:ind w:left="708"/>
        <w:jc w:val="both"/>
        <w:rPr>
          <w:i/>
          <w:lang w:val="es-MX"/>
        </w:rPr>
      </w:pPr>
      <w:r w:rsidRPr="00D8564B">
        <w:rPr>
          <w:i/>
          <w:lang w:val="es-MX"/>
        </w:rPr>
        <w:t>“La variación del IPC desde la última actualización de tarifas en junio de 2010 acumuló para el mes de Junio de 2011 el 3.23%. Entendemos, de acuerdo con lo establecido en el artículo 125 de la ley 142 de 19941 que las Empresas estamos facultadas a proceder a una actualización de las tarifas igual a esta variación, es decir, a una actualización tarifaria del 3.23% amparada en la ley.</w:t>
      </w:r>
    </w:p>
    <w:p w:rsidR="00C5090C" w:rsidRPr="00D8564B" w:rsidRDefault="00C5090C" w:rsidP="00C5090C">
      <w:pPr>
        <w:spacing w:after="0" w:line="240" w:lineRule="auto"/>
        <w:ind w:left="708"/>
        <w:jc w:val="both"/>
        <w:rPr>
          <w:i/>
          <w:lang w:val="es-MX"/>
        </w:rPr>
      </w:pPr>
      <w:r w:rsidRPr="00D8564B">
        <w:rPr>
          <w:i/>
          <w:lang w:val="es-MX"/>
        </w:rPr>
        <w:t>Sin embargo, el parágrafo del artículo 5 de la Resolución CRA 543 de 2011 señala un procedimiento según el cual debe realizar redondeo a dos decimales, lo cual reduciría el factor de actualización al 3%. Consideramos que el espíritu de la ley es mantener el poder adquisitivo de las tarifas, objetivo que no se logra al aplicar el redondeo a dos decimales del factor FA.</w:t>
      </w:r>
    </w:p>
    <w:p w:rsidR="00C5090C" w:rsidRPr="00D8564B" w:rsidRDefault="00C5090C" w:rsidP="00C5090C">
      <w:pPr>
        <w:spacing w:after="0" w:line="240" w:lineRule="auto"/>
        <w:ind w:left="708"/>
        <w:jc w:val="both"/>
        <w:rPr>
          <w:i/>
          <w:lang w:val="es-MX"/>
        </w:rPr>
      </w:pPr>
      <w:r w:rsidRPr="00D8564B">
        <w:rPr>
          <w:i/>
          <w:lang w:val="es-MX"/>
        </w:rPr>
        <w:t>No permitimos solicitar respetuosamente a la Comisión que aclare que el redondeo a 2 decimales se refiere a la variación del IPC expresado en porcentaje, o lo que es equivalente, que el redondeo del factor FA es a 4 decimales.”</w:t>
      </w:r>
    </w:p>
    <w:p w:rsidR="00C5090C" w:rsidRDefault="00C5090C" w:rsidP="00C5090C">
      <w:pPr>
        <w:spacing w:after="0" w:line="240" w:lineRule="auto"/>
        <w:jc w:val="both"/>
        <w:rPr>
          <w:lang w:val="es-MX"/>
        </w:rPr>
      </w:pPr>
    </w:p>
    <w:p w:rsidR="00C5090C" w:rsidRDefault="00C5090C" w:rsidP="00C5090C">
      <w:pPr>
        <w:spacing w:after="0" w:line="240" w:lineRule="auto"/>
        <w:jc w:val="both"/>
        <w:rPr>
          <w:lang w:val="es-MX"/>
        </w:rPr>
      </w:pPr>
      <w:r w:rsidRPr="00B92CCA">
        <w:rPr>
          <w:lang w:val="es-MX"/>
        </w:rPr>
        <w:t xml:space="preserve">Posteriormente, en la comunicación con radicado CRA 2012-321-000579-2 del 31 de enero de 2012, el </w:t>
      </w:r>
      <w:r>
        <w:rPr>
          <w:lang w:val="es-MX"/>
        </w:rPr>
        <w:t>señor</w:t>
      </w:r>
      <w:r w:rsidRPr="00B92CCA">
        <w:rPr>
          <w:lang w:val="es-MX"/>
        </w:rPr>
        <w:t>, Alejandro Zapata Rold</w:t>
      </w:r>
      <w:r>
        <w:rPr>
          <w:lang w:val="es-MX"/>
        </w:rPr>
        <w:t>á</w:t>
      </w:r>
      <w:r w:rsidRPr="00B92CCA">
        <w:rPr>
          <w:lang w:val="es-MX"/>
        </w:rPr>
        <w:t>n, indicó:</w:t>
      </w:r>
    </w:p>
    <w:p w:rsidR="00C5090C" w:rsidRPr="00B92CCA" w:rsidRDefault="00C5090C" w:rsidP="00C5090C">
      <w:pPr>
        <w:spacing w:after="0" w:line="240" w:lineRule="auto"/>
        <w:jc w:val="both"/>
        <w:rPr>
          <w:lang w:val="es-MX"/>
        </w:rPr>
      </w:pPr>
    </w:p>
    <w:p w:rsidR="00C5090C" w:rsidRDefault="00C5090C" w:rsidP="00C5090C">
      <w:pPr>
        <w:spacing w:after="0" w:line="240" w:lineRule="auto"/>
        <w:ind w:left="708"/>
        <w:jc w:val="both"/>
        <w:rPr>
          <w:i/>
          <w:lang w:val="es-MX"/>
        </w:rPr>
      </w:pPr>
      <w:r w:rsidRPr="00D8564B">
        <w:rPr>
          <w:i/>
          <w:lang w:val="es-MX"/>
        </w:rPr>
        <w:t xml:space="preserve">“(…) Si tomamos como ejemplo el IPC-BASE presentado por la CRA en los índices 2004-2001, podemos aplicar a manera de ejemplo la formula y encontrar el </w:t>
      </w:r>
      <w:proofErr w:type="spellStart"/>
      <w:r w:rsidRPr="00D8564B">
        <w:rPr>
          <w:i/>
          <w:lang w:val="es-MX"/>
        </w:rPr>
        <w:t>FAipc</w:t>
      </w:r>
      <w:proofErr w:type="spellEnd"/>
      <w:r w:rsidRPr="00D8564B">
        <w:rPr>
          <w:i/>
          <w:lang w:val="es-MX"/>
        </w:rPr>
        <w:t xml:space="preserve"> entre junio de 2010 y junio de 2011 (…)</w:t>
      </w:r>
    </w:p>
    <w:p w:rsidR="00C61B09" w:rsidRPr="00D8564B" w:rsidRDefault="00C61B09" w:rsidP="00C5090C">
      <w:pPr>
        <w:spacing w:after="0" w:line="240" w:lineRule="auto"/>
        <w:ind w:left="708"/>
        <w:jc w:val="both"/>
        <w:rPr>
          <w:i/>
          <w:lang w:val="es-MX"/>
        </w:rPr>
      </w:pPr>
    </w:p>
    <w:p w:rsidR="00C5090C" w:rsidRPr="006E056F" w:rsidRDefault="00C078B1" w:rsidP="00C61B09">
      <w:pPr>
        <w:spacing w:after="0" w:line="240" w:lineRule="auto"/>
        <w:jc w:val="center"/>
        <w:rPr>
          <w:lang w:val="es-MX"/>
        </w:rPr>
      </w:pPr>
      <m:oMathPara>
        <m:oMath>
          <m:sSub>
            <m:sSubPr>
              <m:ctrlPr>
                <w:rPr>
                  <w:rFonts w:ascii="Cambria Math" w:hAnsi="Cambria Math"/>
                  <w:lang w:val="es-MX"/>
                </w:rPr>
              </m:ctrlPr>
            </m:sSubPr>
            <m:e>
              <m:r>
                <m:rPr>
                  <m:sty m:val="p"/>
                </m:rPr>
                <w:rPr>
                  <w:rFonts w:ascii="Cambria Math" w:hAnsi="Cambria Math"/>
                  <w:lang w:val="es-MX"/>
                </w:rPr>
                <m:t>FA</m:t>
              </m:r>
            </m:e>
            <m:sub>
              <m:r>
                <m:rPr>
                  <m:sty m:val="p"/>
                </m:rPr>
                <w:rPr>
                  <w:rFonts w:ascii="Cambria Math" w:hAnsi="Cambria Math"/>
                  <w:lang w:val="es-MX"/>
                </w:rPr>
                <m:t>IPC</m:t>
              </m:r>
            </m:sub>
          </m:sSub>
          <m:r>
            <m:rPr>
              <m:sty m:val="p"/>
            </m:rPr>
            <w:rPr>
              <w:rFonts w:ascii="Cambria Math" w:hAnsi="Cambria Math"/>
              <w:lang w:val="es-MX"/>
            </w:rPr>
            <m:t xml:space="preserve">= </m:t>
          </m:r>
          <m:f>
            <m:fPr>
              <m:ctrlPr>
                <w:rPr>
                  <w:rFonts w:ascii="Cambria Math" w:hAnsi="Cambria Math"/>
                  <w:lang w:val="es-MX"/>
                </w:rPr>
              </m:ctrlPr>
            </m:fPr>
            <m:num>
              <m:r>
                <m:rPr>
                  <m:sty m:val="p"/>
                </m:rPr>
                <w:rPr>
                  <w:rFonts w:ascii="Cambria Math" w:hAnsi="Cambria Math"/>
                  <w:lang w:val="es-MX"/>
                </w:rPr>
                <m:t>135,6811 (Junio de 2011)</m:t>
              </m:r>
            </m:num>
            <m:den>
              <m:r>
                <m:rPr>
                  <m:sty m:val="p"/>
                </m:rPr>
                <w:rPr>
                  <w:rFonts w:ascii="Cambria Math" w:hAnsi="Cambria Math"/>
                  <w:lang w:val="es-MX"/>
                </w:rPr>
                <m:t>131,4325 (Junio de 2010)</m:t>
              </m:r>
            </m:den>
          </m:f>
        </m:oMath>
      </m:oMathPara>
    </w:p>
    <w:p w:rsidR="00216BC9" w:rsidRDefault="00216BC9" w:rsidP="00C61B09">
      <w:pPr>
        <w:spacing w:after="0" w:line="240" w:lineRule="auto"/>
        <w:jc w:val="center"/>
        <w:rPr>
          <w:lang w:val="es-MX"/>
        </w:rPr>
      </w:pPr>
    </w:p>
    <w:p w:rsidR="00C5090C" w:rsidRPr="00B92CCA" w:rsidRDefault="00C078B1" w:rsidP="00C61B09">
      <w:pPr>
        <w:spacing w:after="0" w:line="240" w:lineRule="auto"/>
        <w:jc w:val="center"/>
        <w:rPr>
          <w:lang w:val="es-MX"/>
        </w:rPr>
      </w:pPr>
      <m:oMath>
        <m:sSub>
          <m:sSubPr>
            <m:ctrlPr>
              <w:rPr>
                <w:rFonts w:ascii="Cambria Math" w:hAnsi="Cambria Math"/>
                <w:lang w:val="es-MX"/>
              </w:rPr>
            </m:ctrlPr>
          </m:sSubPr>
          <m:e>
            <m:r>
              <m:rPr>
                <m:sty m:val="p"/>
              </m:rPr>
              <w:rPr>
                <w:rFonts w:ascii="Cambria Math" w:hAnsi="Cambria Math"/>
                <w:lang w:val="es-MX"/>
              </w:rPr>
              <m:t>FA</m:t>
            </m:r>
          </m:e>
          <m:sub>
            <m:r>
              <m:rPr>
                <m:sty m:val="p"/>
              </m:rPr>
              <w:rPr>
                <w:rFonts w:ascii="Cambria Math" w:hAnsi="Cambria Math"/>
                <w:lang w:val="es-MX"/>
              </w:rPr>
              <m:t>IPC</m:t>
            </m:r>
          </m:sub>
        </m:sSub>
        <m:r>
          <m:rPr>
            <m:sty m:val="p"/>
          </m:rPr>
          <w:rPr>
            <w:rFonts w:ascii="Cambria Math" w:hAnsi="Cambria Math"/>
            <w:lang w:val="es-MX"/>
          </w:rPr>
          <m:t>=</m:t>
        </m:r>
      </m:oMath>
      <w:r w:rsidR="00C5090C" w:rsidRPr="00B92CCA">
        <w:rPr>
          <w:lang w:val="es-MX"/>
        </w:rPr>
        <w:t xml:space="preserve"> 1,0323</w:t>
      </w:r>
    </w:p>
    <w:p w:rsidR="00C61B09" w:rsidRDefault="00C61B09" w:rsidP="00C5090C">
      <w:pPr>
        <w:spacing w:after="0" w:line="240" w:lineRule="auto"/>
        <w:ind w:left="708"/>
        <w:jc w:val="both"/>
        <w:rPr>
          <w:i/>
          <w:lang w:val="es-MX"/>
        </w:rPr>
      </w:pPr>
    </w:p>
    <w:p w:rsidR="00C5090C" w:rsidRDefault="00C5090C" w:rsidP="00C5090C">
      <w:pPr>
        <w:spacing w:after="0" w:line="240" w:lineRule="auto"/>
        <w:ind w:left="708"/>
        <w:jc w:val="both"/>
        <w:rPr>
          <w:i/>
          <w:lang w:val="es-MX"/>
        </w:rPr>
      </w:pPr>
      <w:r w:rsidRPr="00D8564B">
        <w:rPr>
          <w:i/>
          <w:lang w:val="es-MX"/>
        </w:rPr>
        <w:t>Reitero que no tengo la certeza de si la tabla en base 100, corresponde a la base oficial del IPC definida por el DANE, sin embargo la situación de aplicación del parágrafo del artículo 5 seria expresar el factor a dos decimales, es decir:</w:t>
      </w:r>
    </w:p>
    <w:p w:rsidR="00216BC9" w:rsidRDefault="00216BC9" w:rsidP="00C5090C">
      <w:pPr>
        <w:spacing w:after="0" w:line="240" w:lineRule="auto"/>
        <w:ind w:left="708"/>
        <w:jc w:val="both"/>
        <w:rPr>
          <w:i/>
          <w:lang w:val="es-MX"/>
        </w:rPr>
      </w:pPr>
    </w:p>
    <w:p w:rsidR="00C61B09" w:rsidRPr="00D8564B" w:rsidRDefault="00C61B09" w:rsidP="00C5090C">
      <w:pPr>
        <w:spacing w:after="0" w:line="240" w:lineRule="auto"/>
        <w:ind w:left="708"/>
        <w:jc w:val="both"/>
        <w:rPr>
          <w:i/>
          <w:lang w:val="es-MX"/>
        </w:rPr>
      </w:pPr>
    </w:p>
    <w:p w:rsidR="00C5090C" w:rsidRPr="00D8564B" w:rsidRDefault="00C078B1" w:rsidP="00C61B09">
      <w:pPr>
        <w:spacing w:after="0" w:line="240" w:lineRule="auto"/>
        <w:jc w:val="center"/>
        <w:rPr>
          <w:i/>
          <w:lang w:val="es-MX"/>
        </w:rPr>
      </w:pPr>
      <m:oMath>
        <m:sSub>
          <m:sSubPr>
            <m:ctrlPr>
              <w:rPr>
                <w:rFonts w:ascii="Cambria Math" w:hAnsi="Cambria Math"/>
                <w:i/>
                <w:lang w:val="es-MX"/>
              </w:rPr>
            </m:ctrlPr>
          </m:sSubPr>
          <m:e>
            <m:r>
              <w:rPr>
                <w:rFonts w:ascii="Cambria Math" w:hAnsi="Cambria Math"/>
                <w:lang w:val="es-MX"/>
              </w:rPr>
              <m:t>FA</m:t>
            </m:r>
          </m:e>
          <m:sub>
            <m:r>
              <w:rPr>
                <w:rFonts w:ascii="Cambria Math" w:hAnsi="Cambria Math"/>
                <w:lang w:val="es-MX"/>
              </w:rPr>
              <m:t>IPC</m:t>
            </m:r>
          </m:sub>
        </m:sSub>
        <m:r>
          <w:rPr>
            <w:rFonts w:ascii="Cambria Math" w:hAnsi="Cambria Math"/>
            <w:lang w:val="es-MX"/>
          </w:rPr>
          <m:t>=</m:t>
        </m:r>
      </m:oMath>
      <w:r w:rsidR="00C5090C" w:rsidRPr="00D8564B">
        <w:rPr>
          <w:i/>
          <w:lang w:val="es-MX"/>
        </w:rPr>
        <w:t xml:space="preserve"> 1,03</w:t>
      </w:r>
      <w:r w:rsidR="00C5090C" w:rsidRPr="00D8564B">
        <w:rPr>
          <w:i/>
          <w:lang w:val="es-MX"/>
        </w:rPr>
        <w:tab/>
        <w:t>En cualquier caso el factor siempre estará precedido por la unidad.</w:t>
      </w:r>
    </w:p>
    <w:p w:rsidR="00C61B09" w:rsidRDefault="00C61B09" w:rsidP="00C5090C">
      <w:pPr>
        <w:spacing w:after="0" w:line="240" w:lineRule="auto"/>
        <w:ind w:left="708"/>
        <w:jc w:val="both"/>
        <w:rPr>
          <w:i/>
          <w:lang w:val="es-MX"/>
        </w:rPr>
      </w:pPr>
    </w:p>
    <w:p w:rsidR="00C5090C" w:rsidRPr="00D8564B" w:rsidRDefault="00C5090C" w:rsidP="00C5090C">
      <w:pPr>
        <w:spacing w:after="0" w:line="240" w:lineRule="auto"/>
        <w:ind w:left="708"/>
        <w:jc w:val="both"/>
        <w:rPr>
          <w:i/>
          <w:lang w:val="es-MX"/>
        </w:rPr>
      </w:pPr>
      <w:r w:rsidRPr="00D8564B">
        <w:rPr>
          <w:i/>
          <w:lang w:val="es-MX"/>
        </w:rPr>
        <w:t xml:space="preserve">En tal sentido considero que esta situación es violatoria a la normatividad vigente y afecta los intereses financieros de los prestadores de servicios públicos a nivel nacional, ya que si observamos la historia, todos los acumulados obtenidos desde el inicio de la aplicación tarifaria de la Resolución CRA 287 de 2004 han sido inferiores a 3,4450% y en consecuencia la tendencia seria de estar aplicando un </w:t>
      </w:r>
      <w:proofErr w:type="spellStart"/>
      <w:r w:rsidRPr="00D8564B">
        <w:rPr>
          <w:i/>
          <w:lang w:val="es-MX"/>
        </w:rPr>
        <w:t>FAipc</w:t>
      </w:r>
      <w:proofErr w:type="spellEnd"/>
      <w:r w:rsidRPr="00D8564B">
        <w:rPr>
          <w:i/>
          <w:lang w:val="es-MX"/>
        </w:rPr>
        <w:t xml:space="preserve"> del 1,03, es decir un incremento real del 3% y no al ser superior e</w:t>
      </w:r>
      <w:r>
        <w:rPr>
          <w:i/>
          <w:lang w:val="es-MX"/>
        </w:rPr>
        <w:t>n los términos del artí</w:t>
      </w:r>
      <w:r w:rsidRPr="00D8564B">
        <w:rPr>
          <w:i/>
          <w:lang w:val="es-MX"/>
        </w:rPr>
        <w:t>culo 125 de la Ley 142 de 1994 (…)”.</w:t>
      </w:r>
    </w:p>
    <w:p w:rsidR="00C5090C" w:rsidRDefault="00C5090C" w:rsidP="00C5090C">
      <w:pPr>
        <w:spacing w:after="0" w:line="240" w:lineRule="auto"/>
        <w:jc w:val="both"/>
        <w:rPr>
          <w:lang w:val="es-MX"/>
        </w:rPr>
      </w:pPr>
    </w:p>
    <w:p w:rsidR="00C5090C" w:rsidRPr="00B92CCA" w:rsidRDefault="00C5090C" w:rsidP="00C5090C">
      <w:pPr>
        <w:spacing w:after="0" w:line="240" w:lineRule="auto"/>
        <w:jc w:val="both"/>
        <w:rPr>
          <w:lang w:val="es-MX"/>
        </w:rPr>
      </w:pPr>
      <w:r w:rsidRPr="00B92CCA">
        <w:rPr>
          <w:lang w:val="es-MX"/>
        </w:rPr>
        <w:t xml:space="preserve">Como antecedente </w:t>
      </w:r>
      <w:r>
        <w:rPr>
          <w:lang w:val="es-MX"/>
        </w:rPr>
        <w:t>de</w:t>
      </w:r>
      <w:r w:rsidRPr="00B92CCA">
        <w:rPr>
          <w:lang w:val="es-MX"/>
        </w:rPr>
        <w:t xml:space="preserve"> estas observaciones, se debe tener en cuenta que el factor de actualización por IPC (</w:t>
      </w:r>
      <w:proofErr w:type="spellStart"/>
      <w:r w:rsidRPr="00B92CCA">
        <w:rPr>
          <w:lang w:val="es-MX"/>
        </w:rPr>
        <w:t>FAipc</w:t>
      </w:r>
      <w:proofErr w:type="spellEnd"/>
      <w:r w:rsidRPr="00B92CCA">
        <w:rPr>
          <w:lang w:val="es-MX"/>
        </w:rPr>
        <w:t xml:space="preserve">) se utiliza para la actualización </w:t>
      </w:r>
      <w:r>
        <w:rPr>
          <w:lang w:val="es-MX"/>
        </w:rPr>
        <w:t>de costos y tarifas, según la fó</w:t>
      </w:r>
      <w:r w:rsidRPr="00B92CCA">
        <w:rPr>
          <w:lang w:val="es-MX"/>
        </w:rPr>
        <w:t>rmula definida en el artículo 3 de la Resolución CRA 543 de 2011, en los siguientes términos:</w:t>
      </w:r>
    </w:p>
    <w:p w:rsidR="00C5090C" w:rsidRPr="00C5090C" w:rsidRDefault="00C5090C" w:rsidP="00C5090C">
      <w:pPr>
        <w:pStyle w:val="ListParagraph1"/>
        <w:spacing w:after="0" w:line="240" w:lineRule="auto"/>
        <w:jc w:val="both"/>
        <w:rPr>
          <w:rFonts w:cs="Times New Roman"/>
          <w:i/>
          <w:szCs w:val="20"/>
          <w:lang w:val="es-MX" w:bidi="en-US"/>
        </w:rPr>
      </w:pPr>
    </w:p>
    <w:p w:rsidR="00C5090C" w:rsidRPr="00C5090C" w:rsidRDefault="00C5090C" w:rsidP="00C5090C">
      <w:pPr>
        <w:pStyle w:val="ListParagraph1"/>
        <w:spacing w:after="0" w:line="240" w:lineRule="auto"/>
        <w:jc w:val="both"/>
        <w:rPr>
          <w:rFonts w:cs="Times New Roman"/>
          <w:i/>
          <w:szCs w:val="20"/>
          <w:lang w:val="es-MX" w:bidi="en-US"/>
        </w:rPr>
      </w:pPr>
      <w:r w:rsidRPr="00C5090C">
        <w:rPr>
          <w:rFonts w:cs="Times New Roman"/>
          <w:i/>
          <w:szCs w:val="20"/>
          <w:lang w:val="es-MX" w:bidi="en-US"/>
        </w:rPr>
        <w:t>“ARTÍCULO 3.- Fórmula de actualización de costos por componente. Los costos por componente de los servicios públicos domiciliarios de acueducto y alcantarillado serán ajustados con el factor de actualización por IPC mediante la aplicación de las siguientes fórmulas:</w:t>
      </w:r>
    </w:p>
    <w:p w:rsidR="00C5090C" w:rsidRPr="006932DF" w:rsidRDefault="00C5090C" w:rsidP="00C5090C">
      <w:pPr>
        <w:spacing w:after="0" w:line="240" w:lineRule="auto"/>
        <w:ind w:left="708"/>
        <w:jc w:val="both"/>
        <w:rPr>
          <w:i/>
          <w:lang w:val="es-MX"/>
        </w:rPr>
      </w:pPr>
    </w:p>
    <w:p w:rsidR="00C5090C" w:rsidRPr="006932DF" w:rsidRDefault="00C5090C" w:rsidP="00C61B09">
      <w:pPr>
        <w:spacing w:after="0" w:line="240" w:lineRule="auto"/>
        <w:jc w:val="center"/>
        <w:rPr>
          <w:i/>
          <w:lang w:val="es-MX"/>
        </w:rPr>
      </w:pPr>
      <w:r w:rsidRPr="006932DF">
        <w:rPr>
          <w:i/>
          <w:lang w:val="es-MX"/>
        </w:rPr>
        <w:object w:dxaOrig="6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9pt" o:ole="">
            <v:imagedata r:id="rId10" o:title=""/>
          </v:shape>
          <o:OLEObject Type="Embed" ProgID="Equation.3" ShapeID="_x0000_i1025" DrawAspect="Content" ObjectID="_1403436292" r:id="rId11"/>
        </w:object>
      </w:r>
    </w:p>
    <w:p w:rsidR="00C5090C" w:rsidRPr="006932DF" w:rsidRDefault="00C5090C" w:rsidP="00C61B09">
      <w:pPr>
        <w:spacing w:after="0" w:line="240" w:lineRule="auto"/>
        <w:jc w:val="center"/>
        <w:rPr>
          <w:i/>
          <w:lang w:val="es-MX"/>
        </w:rPr>
      </w:pPr>
      <w:r w:rsidRPr="006932DF">
        <w:rPr>
          <w:i/>
          <w:lang w:val="es-MX"/>
        </w:rPr>
        <w:object w:dxaOrig="6020" w:dyaOrig="380">
          <v:shape id="_x0000_i1026" type="#_x0000_t75" style="width:281.5pt;height:19pt" o:ole="">
            <v:imagedata r:id="rId12" o:title=""/>
          </v:shape>
          <o:OLEObject Type="Embed" ProgID="Equation.3" ShapeID="_x0000_i1026" DrawAspect="Content" ObjectID="_1403436293" r:id="rId13"/>
        </w:object>
      </w:r>
    </w:p>
    <w:p w:rsidR="00C5090C" w:rsidRPr="006932DF" w:rsidRDefault="00C5090C" w:rsidP="00C5090C">
      <w:pPr>
        <w:spacing w:after="0" w:line="240" w:lineRule="auto"/>
        <w:ind w:left="708"/>
        <w:jc w:val="both"/>
        <w:rPr>
          <w:i/>
          <w:lang w:val="es-MX"/>
        </w:rPr>
      </w:pPr>
      <w:r w:rsidRPr="006932DF">
        <w:rPr>
          <w:i/>
          <w:lang w:val="es-MX"/>
        </w:rPr>
        <w:t>Dónde:</w:t>
      </w:r>
    </w:p>
    <w:p w:rsidR="00216BC9" w:rsidRDefault="00216BC9" w:rsidP="00C5090C">
      <w:pPr>
        <w:spacing w:after="0" w:line="240" w:lineRule="auto"/>
        <w:ind w:left="708"/>
        <w:jc w:val="both"/>
        <w:rPr>
          <w:i/>
          <w:lang w:val="es-MX"/>
        </w:rPr>
      </w:pPr>
    </w:p>
    <w:p w:rsidR="00C5090C" w:rsidRPr="006932DF" w:rsidRDefault="00C5090C" w:rsidP="00C5090C">
      <w:pPr>
        <w:spacing w:after="0" w:line="240" w:lineRule="auto"/>
        <w:ind w:left="708"/>
        <w:jc w:val="both"/>
        <w:rPr>
          <w:i/>
          <w:lang w:val="es-MX"/>
        </w:rPr>
      </w:pPr>
      <w:r w:rsidRPr="006932DF">
        <w:rPr>
          <w:i/>
          <w:lang w:val="es-MX"/>
        </w:rPr>
        <w:t xml:space="preserve">Costo por componente </w:t>
      </w:r>
      <w:proofErr w:type="spellStart"/>
      <w:r w:rsidRPr="006932DF">
        <w:rPr>
          <w:i/>
          <w:lang w:val="es-MX"/>
        </w:rPr>
        <w:t>ac</w:t>
      </w:r>
      <w:proofErr w:type="spellEnd"/>
      <w:r w:rsidRPr="006932DF">
        <w:rPr>
          <w:i/>
          <w:lang w:val="es-MX"/>
        </w:rPr>
        <w:t xml:space="preserve"> t: Costo de cada uno de los componentes del servicio público domiciliario de acueducto, esto es, Costo Medio de Administración y Cargo por Consumo expresados en términos unitarios, según el caso, a actualizar para el mes t.</w:t>
      </w:r>
    </w:p>
    <w:p w:rsidR="00216BC9" w:rsidRDefault="00216BC9" w:rsidP="00C5090C">
      <w:pPr>
        <w:spacing w:after="0" w:line="240" w:lineRule="auto"/>
        <w:ind w:left="708"/>
        <w:jc w:val="both"/>
        <w:rPr>
          <w:i/>
          <w:lang w:val="es-MX"/>
        </w:rPr>
      </w:pPr>
    </w:p>
    <w:p w:rsidR="00C5090C" w:rsidRPr="006932DF" w:rsidRDefault="00C5090C" w:rsidP="00C5090C">
      <w:pPr>
        <w:spacing w:after="0" w:line="240" w:lineRule="auto"/>
        <w:ind w:left="708"/>
        <w:jc w:val="both"/>
        <w:rPr>
          <w:i/>
          <w:lang w:val="es-MX"/>
        </w:rPr>
      </w:pPr>
      <w:r w:rsidRPr="006932DF">
        <w:rPr>
          <w:i/>
          <w:lang w:val="es-MX"/>
        </w:rPr>
        <w:t xml:space="preserve">Costo por componente </w:t>
      </w:r>
      <w:proofErr w:type="gramStart"/>
      <w:r w:rsidRPr="006932DF">
        <w:rPr>
          <w:i/>
          <w:lang w:val="es-MX"/>
        </w:rPr>
        <w:t>al</w:t>
      </w:r>
      <w:proofErr w:type="gramEnd"/>
      <w:r w:rsidRPr="006932DF">
        <w:rPr>
          <w:i/>
          <w:lang w:val="es-MX"/>
        </w:rPr>
        <w:t xml:space="preserve"> t: Costo de cada uno de los componentes del servicio público domiciliario de alcantarillado, esto es, Costo Medio de Administración y Cargo por Consumo expresados en términos unitarios, según el caso, a actualizar para el mes t.</w:t>
      </w:r>
    </w:p>
    <w:p w:rsidR="00216BC9" w:rsidRDefault="00216BC9" w:rsidP="00C5090C">
      <w:pPr>
        <w:spacing w:after="0" w:line="240" w:lineRule="auto"/>
        <w:ind w:left="708"/>
        <w:jc w:val="both"/>
        <w:rPr>
          <w:i/>
          <w:lang w:val="es-MX"/>
        </w:rPr>
      </w:pPr>
    </w:p>
    <w:p w:rsidR="00C5090C" w:rsidRPr="006932DF" w:rsidRDefault="00C5090C" w:rsidP="00C5090C">
      <w:pPr>
        <w:spacing w:after="0" w:line="240" w:lineRule="auto"/>
        <w:ind w:left="708"/>
        <w:jc w:val="both"/>
        <w:rPr>
          <w:i/>
          <w:lang w:val="es-MX"/>
        </w:rPr>
      </w:pPr>
      <w:r w:rsidRPr="006932DF">
        <w:rPr>
          <w:i/>
          <w:lang w:val="es-MX"/>
        </w:rPr>
        <w:t xml:space="preserve">Costo por componente </w:t>
      </w:r>
      <w:proofErr w:type="spellStart"/>
      <w:r w:rsidRPr="006932DF">
        <w:rPr>
          <w:i/>
          <w:lang w:val="es-MX"/>
        </w:rPr>
        <w:t>ac</w:t>
      </w:r>
      <w:proofErr w:type="spellEnd"/>
      <w:r w:rsidRPr="006932DF">
        <w:rPr>
          <w:i/>
          <w:lang w:val="es-MX"/>
        </w:rPr>
        <w:t xml:space="preserve"> t-1: Costo de cada uno de los componentes del servicio público domiciliario de acueducto expresado en términos unitarios, correspondiente al Costo Medio de Administración y Cargo por Consumo, estimado a partir de la última actualización efectuada por el prestador. </w:t>
      </w:r>
    </w:p>
    <w:p w:rsidR="00216BC9" w:rsidRDefault="00216BC9" w:rsidP="00C5090C">
      <w:pPr>
        <w:spacing w:after="0" w:line="240" w:lineRule="auto"/>
        <w:ind w:left="708"/>
        <w:jc w:val="both"/>
        <w:rPr>
          <w:i/>
          <w:lang w:val="es-MX"/>
        </w:rPr>
      </w:pPr>
    </w:p>
    <w:p w:rsidR="00C5090C" w:rsidRPr="006932DF" w:rsidRDefault="00C5090C" w:rsidP="00C5090C">
      <w:pPr>
        <w:spacing w:after="0" w:line="240" w:lineRule="auto"/>
        <w:ind w:left="708"/>
        <w:jc w:val="both"/>
        <w:rPr>
          <w:i/>
          <w:lang w:val="es-MX"/>
        </w:rPr>
      </w:pPr>
      <w:r w:rsidRPr="006932DF">
        <w:rPr>
          <w:i/>
          <w:lang w:val="es-MX"/>
        </w:rPr>
        <w:t xml:space="preserve">Costo por componente </w:t>
      </w:r>
      <w:proofErr w:type="spellStart"/>
      <w:r w:rsidRPr="006932DF">
        <w:rPr>
          <w:i/>
          <w:lang w:val="es-MX"/>
        </w:rPr>
        <w:t>ac</w:t>
      </w:r>
      <w:proofErr w:type="spellEnd"/>
      <w:r w:rsidRPr="006932DF">
        <w:rPr>
          <w:i/>
          <w:lang w:val="es-MX"/>
        </w:rPr>
        <w:t xml:space="preserve"> t-1: Costo de cada uno de los componentes del servicio público domiciliario de alcantarillado expresado en términos unitarios, correspondiente al Costo Medio de Administración y Cargo por Consumo, estimado a partir de la última actualización efectuada por el prestador. </w:t>
      </w:r>
    </w:p>
    <w:p w:rsidR="00216BC9" w:rsidRDefault="00216BC9" w:rsidP="00C5090C">
      <w:pPr>
        <w:spacing w:after="0" w:line="240" w:lineRule="auto"/>
        <w:ind w:left="708"/>
        <w:jc w:val="both"/>
        <w:rPr>
          <w:i/>
          <w:lang w:val="es-MX"/>
        </w:rPr>
      </w:pPr>
    </w:p>
    <w:p w:rsidR="00C5090C" w:rsidRPr="006932DF" w:rsidRDefault="00C5090C" w:rsidP="00C5090C">
      <w:pPr>
        <w:spacing w:after="0" w:line="240" w:lineRule="auto"/>
        <w:ind w:left="708"/>
        <w:jc w:val="both"/>
        <w:rPr>
          <w:i/>
          <w:lang w:val="es-MX"/>
        </w:rPr>
      </w:pPr>
      <w:proofErr w:type="spellStart"/>
      <w:r w:rsidRPr="006932DF">
        <w:rPr>
          <w:i/>
          <w:lang w:val="es-MX"/>
        </w:rPr>
        <w:t>FAipc</w:t>
      </w:r>
      <w:proofErr w:type="spellEnd"/>
      <w:r w:rsidRPr="006932DF">
        <w:rPr>
          <w:i/>
          <w:lang w:val="es-MX"/>
        </w:rPr>
        <w:t>: Factor de actualización por IPC definido en el artículo 5 de la presente resolución (…)”.</w:t>
      </w:r>
    </w:p>
    <w:p w:rsidR="00C61B09" w:rsidRDefault="00C61B09" w:rsidP="00C5090C">
      <w:pPr>
        <w:spacing w:after="0" w:line="240" w:lineRule="auto"/>
        <w:jc w:val="both"/>
        <w:rPr>
          <w:lang w:val="es-MX"/>
        </w:rPr>
      </w:pPr>
    </w:p>
    <w:p w:rsidR="00C5090C" w:rsidRPr="00B92CCA" w:rsidRDefault="00C61B09" w:rsidP="00C5090C">
      <w:pPr>
        <w:spacing w:after="0" w:line="240" w:lineRule="auto"/>
        <w:jc w:val="both"/>
        <w:rPr>
          <w:lang w:val="es-MX"/>
        </w:rPr>
      </w:pPr>
      <w:r>
        <w:rPr>
          <w:lang w:val="es-MX"/>
        </w:rPr>
        <w:t>E</w:t>
      </w:r>
      <w:r w:rsidR="00C5090C" w:rsidRPr="00B92CCA">
        <w:rPr>
          <w:lang w:val="es-MX"/>
        </w:rPr>
        <w:t xml:space="preserve">l artículo 5 de la mencionada Resolución se define el cálculo del </w:t>
      </w:r>
      <w:proofErr w:type="spellStart"/>
      <w:r w:rsidR="00C5090C" w:rsidRPr="00B92CCA">
        <w:rPr>
          <w:lang w:val="es-MX"/>
        </w:rPr>
        <w:t>FAicp</w:t>
      </w:r>
      <w:proofErr w:type="spellEnd"/>
      <w:r w:rsidR="00C5090C" w:rsidRPr="00B92CCA">
        <w:rPr>
          <w:lang w:val="es-MX"/>
        </w:rPr>
        <w:t xml:space="preserve"> de la siguiente forma:</w:t>
      </w:r>
    </w:p>
    <w:p w:rsidR="00C5090C" w:rsidRPr="00C5090C" w:rsidRDefault="00C5090C" w:rsidP="00C5090C">
      <w:pPr>
        <w:pStyle w:val="ListParagraph1"/>
        <w:spacing w:after="0" w:line="240" w:lineRule="auto"/>
        <w:ind w:left="709"/>
        <w:jc w:val="both"/>
        <w:rPr>
          <w:rFonts w:cs="Times New Roman"/>
          <w:i/>
          <w:szCs w:val="20"/>
          <w:lang w:val="es-MX" w:bidi="en-US"/>
        </w:rPr>
      </w:pPr>
    </w:p>
    <w:p w:rsidR="00C5090C" w:rsidRPr="00C5090C" w:rsidRDefault="00C5090C" w:rsidP="00C5090C">
      <w:pPr>
        <w:pStyle w:val="ListParagraph1"/>
        <w:spacing w:after="0" w:line="240" w:lineRule="auto"/>
        <w:ind w:left="709"/>
        <w:jc w:val="both"/>
        <w:rPr>
          <w:rFonts w:cs="Times New Roman"/>
          <w:i/>
          <w:szCs w:val="20"/>
          <w:lang w:val="es-MX" w:bidi="en-US"/>
        </w:rPr>
      </w:pPr>
      <w:r w:rsidRPr="00C5090C">
        <w:rPr>
          <w:rFonts w:cs="Times New Roman"/>
          <w:i/>
          <w:szCs w:val="20"/>
          <w:lang w:val="es-MX" w:bidi="en-US"/>
        </w:rPr>
        <w:t>“(…) ARTÍCULO 5.- Factor de actualización por IPC. La fórmula para estimar el factor de actualización por IPC para los servicios públicos domiciliarios de acueducto y alcantarillado es la siguiente:</w:t>
      </w:r>
    </w:p>
    <w:p w:rsidR="00C5090C" w:rsidRPr="006932DF" w:rsidRDefault="00C5090C" w:rsidP="00C5090C">
      <w:pPr>
        <w:spacing w:after="0" w:line="240" w:lineRule="auto"/>
        <w:ind w:left="709"/>
        <w:jc w:val="both"/>
        <w:rPr>
          <w:i/>
          <w:lang w:val="es-MX"/>
        </w:rPr>
      </w:pPr>
    </w:p>
    <w:p w:rsidR="00C5090C" w:rsidRPr="006932DF" w:rsidRDefault="006E056F" w:rsidP="00C61B09">
      <w:pPr>
        <w:spacing w:after="0" w:line="240" w:lineRule="auto"/>
        <w:ind w:left="709"/>
        <w:jc w:val="center"/>
        <w:rPr>
          <w:i/>
          <w:lang w:val="es-MX"/>
        </w:rPr>
      </w:pPr>
      <w:r w:rsidRPr="006E056F">
        <w:rPr>
          <w:i/>
          <w:position w:val="-30"/>
          <w:lang w:val="es-MX"/>
        </w:rPr>
        <w:object w:dxaOrig="1460" w:dyaOrig="680">
          <v:shape id="_x0000_i1027" type="#_x0000_t75" style="width:73pt;height:34pt" o:ole="">
            <v:imagedata r:id="rId14" o:title=""/>
          </v:shape>
          <o:OLEObject Type="Embed" ProgID="Equation.3" ShapeID="_x0000_i1027" DrawAspect="Content" ObjectID="_1403436294" r:id="rId15"/>
        </w:object>
      </w:r>
      <w:r w:rsidR="00C5090C" w:rsidRPr="006932DF">
        <w:rPr>
          <w:i/>
          <w:lang w:val="es-MX"/>
        </w:rPr>
        <w:fldChar w:fldCharType="begin"/>
      </w:r>
      <w:r w:rsidR="00C5090C" w:rsidRPr="006932DF">
        <w:rPr>
          <w:i/>
          <w:lang w:val="es-MX"/>
        </w:rPr>
        <w:instrText xml:space="preserve"> QUOTE </w:instrText>
      </w:r>
      <w:r w:rsidR="00C5090C" w:rsidRPr="006932DF">
        <w:rPr>
          <w:i/>
          <w:lang w:val="es-MX"/>
        </w:rPr>
        <w:fldChar w:fldCharType="begin"/>
      </w:r>
      <w:r w:rsidR="00C5090C" w:rsidRPr="006932DF">
        <w:rPr>
          <w:i/>
          <w:lang w:val="es-MX"/>
        </w:rPr>
        <w:instrText xml:space="preserve"> QUOTE </w:instrText>
      </w:r>
      <w:r>
        <w:rPr>
          <w:i/>
          <w:noProof/>
          <w:lang w:val="es-CO" w:eastAsia="es-CO"/>
        </w:rPr>
        <w:drawing>
          <wp:inline distT="0" distB="0" distL="0" distR="0" wp14:anchorId="5E1FD889" wp14:editId="06C2EFF1">
            <wp:extent cx="1121410" cy="325755"/>
            <wp:effectExtent l="0" t="0" r="254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325755"/>
                    </a:xfrm>
                    <a:prstGeom prst="rect">
                      <a:avLst/>
                    </a:prstGeom>
                    <a:noFill/>
                    <a:ln>
                      <a:noFill/>
                    </a:ln>
                  </pic:spPr>
                </pic:pic>
              </a:graphicData>
            </a:graphic>
          </wp:inline>
        </w:drawing>
      </w:r>
      <w:r w:rsidR="00C5090C" w:rsidRPr="006932DF">
        <w:rPr>
          <w:i/>
          <w:lang w:val="es-MX"/>
        </w:rPr>
        <w:instrText xml:space="preserve"> </w:instrText>
      </w:r>
      <w:r w:rsidR="00C5090C" w:rsidRPr="006932DF">
        <w:rPr>
          <w:i/>
          <w:lang w:val="es-MX"/>
        </w:rPr>
        <w:fldChar w:fldCharType="separate"/>
      </w:r>
      <w:r>
        <w:rPr>
          <w:i/>
          <w:noProof/>
          <w:lang w:val="es-CO" w:eastAsia="es-CO"/>
        </w:rPr>
        <w:drawing>
          <wp:inline distT="0" distB="0" distL="0" distR="0" wp14:anchorId="7F7BA0CD" wp14:editId="44D4D7C7">
            <wp:extent cx="1121410" cy="325755"/>
            <wp:effectExtent l="0" t="0" r="254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325755"/>
                    </a:xfrm>
                    <a:prstGeom prst="rect">
                      <a:avLst/>
                    </a:prstGeom>
                    <a:noFill/>
                    <a:ln>
                      <a:noFill/>
                    </a:ln>
                  </pic:spPr>
                </pic:pic>
              </a:graphicData>
            </a:graphic>
          </wp:inline>
        </w:drawing>
      </w:r>
      <w:r w:rsidR="00C5090C" w:rsidRPr="006932DF">
        <w:rPr>
          <w:i/>
          <w:lang w:val="es-MX"/>
        </w:rPr>
        <w:fldChar w:fldCharType="end"/>
      </w:r>
      <w:r w:rsidR="00C5090C" w:rsidRPr="006932DF">
        <w:rPr>
          <w:i/>
          <w:lang w:val="es-MX"/>
        </w:rPr>
        <w:instrText xml:space="preserve"> </w:instrText>
      </w:r>
      <w:r w:rsidR="00C5090C" w:rsidRPr="006932DF">
        <w:rPr>
          <w:i/>
          <w:lang w:val="es-MX"/>
        </w:rPr>
        <w:fldChar w:fldCharType="end"/>
      </w:r>
    </w:p>
    <w:p w:rsidR="00C5090C" w:rsidRPr="006932DF" w:rsidRDefault="00C5090C" w:rsidP="00C5090C">
      <w:pPr>
        <w:spacing w:after="0" w:line="240" w:lineRule="auto"/>
        <w:ind w:left="709"/>
        <w:jc w:val="both"/>
        <w:rPr>
          <w:i/>
          <w:lang w:val="es-MX"/>
        </w:rPr>
      </w:pPr>
      <w:r w:rsidRPr="006932DF">
        <w:rPr>
          <w:i/>
          <w:lang w:val="es-MX"/>
        </w:rPr>
        <w:t>Dónde:</w:t>
      </w:r>
    </w:p>
    <w:p w:rsidR="00C61B09" w:rsidRDefault="00C61B09" w:rsidP="00C5090C">
      <w:pPr>
        <w:spacing w:after="0" w:line="240" w:lineRule="auto"/>
        <w:ind w:left="709"/>
        <w:jc w:val="both"/>
        <w:rPr>
          <w:i/>
          <w:lang w:val="es-MX"/>
        </w:rPr>
      </w:pPr>
    </w:p>
    <w:p w:rsidR="00C5090C" w:rsidRDefault="00C5090C" w:rsidP="00C5090C">
      <w:pPr>
        <w:spacing w:after="0" w:line="240" w:lineRule="auto"/>
        <w:ind w:left="709"/>
        <w:jc w:val="both"/>
        <w:rPr>
          <w:i/>
          <w:lang w:val="es-MX"/>
        </w:rPr>
      </w:pPr>
      <w:proofErr w:type="spellStart"/>
      <w:r w:rsidRPr="006932DF">
        <w:rPr>
          <w:i/>
          <w:lang w:val="es-MX"/>
        </w:rPr>
        <w:t>FAipc</w:t>
      </w:r>
      <w:proofErr w:type="spellEnd"/>
      <w:r w:rsidRPr="006932DF">
        <w:rPr>
          <w:i/>
          <w:lang w:val="es-MX"/>
        </w:rPr>
        <w:t xml:space="preserve">: Factor de Actualización por IPC, el cual podrá ser aplicado cada vez que se acumule una variación de, por lo menos, el tres por ciento (3%) en el Índice de Precios al Consumidor reportado por el DANE. </w:t>
      </w:r>
    </w:p>
    <w:p w:rsidR="008C5111" w:rsidRPr="006932DF" w:rsidRDefault="008C5111" w:rsidP="00C5090C">
      <w:pPr>
        <w:spacing w:after="0" w:line="240" w:lineRule="auto"/>
        <w:ind w:left="709"/>
        <w:jc w:val="both"/>
        <w:rPr>
          <w:i/>
          <w:lang w:val="es-MX"/>
        </w:rPr>
      </w:pPr>
    </w:p>
    <w:p w:rsidR="00C5090C" w:rsidRDefault="00C5090C" w:rsidP="00C5090C">
      <w:pPr>
        <w:spacing w:after="0" w:line="240" w:lineRule="auto"/>
        <w:ind w:left="709"/>
        <w:jc w:val="both"/>
        <w:rPr>
          <w:i/>
          <w:lang w:val="es-MX"/>
        </w:rPr>
      </w:pPr>
      <w:r w:rsidRPr="006932DF">
        <w:rPr>
          <w:i/>
          <w:lang w:val="es-MX"/>
        </w:rPr>
        <w:t>IPC t: Índice de Precios al Consumidor reportado por el DANE del mes seleccionado por el prestador, para efectos de realizar la actualización por concepto de IPC (mes final).</w:t>
      </w:r>
    </w:p>
    <w:p w:rsidR="008C5111" w:rsidRPr="006932DF" w:rsidRDefault="008C5111" w:rsidP="00C5090C">
      <w:pPr>
        <w:spacing w:after="0" w:line="240" w:lineRule="auto"/>
        <w:ind w:left="709"/>
        <w:jc w:val="both"/>
        <w:rPr>
          <w:i/>
          <w:lang w:val="es-MX"/>
        </w:rPr>
      </w:pPr>
    </w:p>
    <w:p w:rsidR="00C5090C" w:rsidRDefault="00C5090C" w:rsidP="00C5090C">
      <w:pPr>
        <w:spacing w:after="0" w:line="240" w:lineRule="auto"/>
        <w:ind w:left="709"/>
        <w:jc w:val="both"/>
        <w:rPr>
          <w:i/>
          <w:lang w:val="es-MX"/>
        </w:rPr>
      </w:pPr>
      <w:r w:rsidRPr="006932DF">
        <w:rPr>
          <w:i/>
          <w:lang w:val="es-MX"/>
        </w:rPr>
        <w:t>IPC t-1: Índice de Precios al Consumidor reportado por el DANE correspondiente al último mes en el cual se realizó la actualización por concepto de IPC o aquel que el prestador seleccione como mes base para la actualización, el cual no podrá ser anterior al momento en el que se aplicó la última indexación.</w:t>
      </w:r>
    </w:p>
    <w:p w:rsidR="008C5111" w:rsidRPr="006932DF" w:rsidRDefault="008C5111" w:rsidP="00C5090C">
      <w:pPr>
        <w:spacing w:after="0" w:line="240" w:lineRule="auto"/>
        <w:ind w:left="709"/>
        <w:jc w:val="both"/>
        <w:rPr>
          <w:i/>
          <w:lang w:val="es-MX"/>
        </w:rPr>
      </w:pPr>
    </w:p>
    <w:p w:rsidR="00C5090C" w:rsidRPr="00C5090C" w:rsidRDefault="00C5090C" w:rsidP="00C5090C">
      <w:pPr>
        <w:pStyle w:val="ListParagraph1"/>
        <w:spacing w:after="0" w:line="240" w:lineRule="auto"/>
        <w:ind w:left="709"/>
        <w:jc w:val="both"/>
        <w:rPr>
          <w:rFonts w:cs="Times New Roman"/>
          <w:i/>
          <w:szCs w:val="20"/>
          <w:lang w:val="es-MX" w:bidi="en-US"/>
        </w:rPr>
      </w:pPr>
      <w:r w:rsidRPr="00C5090C">
        <w:rPr>
          <w:rFonts w:cs="Times New Roman"/>
          <w:i/>
          <w:szCs w:val="20"/>
          <w:lang w:val="es-MX" w:bidi="en-US"/>
        </w:rPr>
        <w:t xml:space="preserve">Parágrafo.- Para la estimación del factor de actualización, se utilizará el índice IPC expresado de acuerdo con la base definida por el DANE vigente al momento de expedición de la presente resolución, redondeado a la cantidad de decimales que dicha entidad publique de manera oficial. El factor de actualización obtenido </w:t>
      </w:r>
      <w:proofErr w:type="spellStart"/>
      <w:r w:rsidRPr="00C5090C">
        <w:rPr>
          <w:rFonts w:cs="Times New Roman"/>
          <w:i/>
          <w:szCs w:val="20"/>
          <w:lang w:val="es-MX" w:bidi="en-US"/>
        </w:rPr>
        <w:t>FAipc</w:t>
      </w:r>
      <w:proofErr w:type="spellEnd"/>
      <w:r w:rsidRPr="00C5090C">
        <w:rPr>
          <w:rFonts w:cs="Times New Roman"/>
          <w:i/>
          <w:szCs w:val="20"/>
          <w:lang w:val="es-MX" w:bidi="en-US"/>
        </w:rPr>
        <w:t>, deberá ser redondeado a dos decimales, al igual que las operaciones resultantes de la actualización de costos y tarifas.</w:t>
      </w:r>
    </w:p>
    <w:p w:rsidR="00C5090C" w:rsidRPr="00C5090C" w:rsidRDefault="00C5090C" w:rsidP="00C5090C">
      <w:pPr>
        <w:pStyle w:val="ListParagraph1"/>
        <w:spacing w:after="0" w:line="240" w:lineRule="auto"/>
        <w:ind w:left="709"/>
        <w:jc w:val="both"/>
        <w:rPr>
          <w:rFonts w:cs="Times New Roman"/>
          <w:i/>
          <w:szCs w:val="20"/>
          <w:lang w:val="es-MX" w:bidi="en-US"/>
        </w:rPr>
      </w:pPr>
    </w:p>
    <w:p w:rsidR="00C5090C" w:rsidRPr="00C5090C" w:rsidRDefault="00C5090C" w:rsidP="00C5090C">
      <w:pPr>
        <w:pStyle w:val="ListParagraph1"/>
        <w:spacing w:after="0" w:line="240" w:lineRule="auto"/>
        <w:ind w:left="709"/>
        <w:jc w:val="both"/>
        <w:rPr>
          <w:rFonts w:cs="Times New Roman"/>
          <w:i/>
          <w:szCs w:val="20"/>
          <w:lang w:val="es-MX" w:bidi="en-US"/>
        </w:rPr>
      </w:pPr>
      <w:r w:rsidRPr="00C5090C">
        <w:rPr>
          <w:rFonts w:cs="Times New Roman"/>
          <w:i/>
          <w:szCs w:val="20"/>
          <w:lang w:val="es-MX" w:bidi="en-US"/>
        </w:rPr>
        <w:t>Para llevar a cabo los redondeos, de acuerdo con el número de decimales requerido, se aplicará la siguiente regla iniciando desde el último decimal: si el dígito a omitir es mayor o igual a cinco, se incrementa en una unidad el siguiente decimal a la izquierda, en caso contrario, simplemente se elimina o no se modifica. (…)”.</w:t>
      </w:r>
    </w:p>
    <w:p w:rsidR="00C5090C" w:rsidRPr="00B92CCA" w:rsidRDefault="00C5090C" w:rsidP="00C5090C">
      <w:pPr>
        <w:spacing w:after="0" w:line="240" w:lineRule="auto"/>
        <w:jc w:val="both"/>
        <w:rPr>
          <w:lang w:val="es-MX"/>
        </w:rPr>
      </w:pPr>
    </w:p>
    <w:p w:rsidR="00C5090C" w:rsidRDefault="00C5090C" w:rsidP="00C5090C">
      <w:pPr>
        <w:spacing w:after="0" w:line="240" w:lineRule="auto"/>
        <w:jc w:val="both"/>
        <w:rPr>
          <w:lang w:val="es-MX"/>
        </w:rPr>
      </w:pPr>
      <w:r w:rsidRPr="00B92CCA">
        <w:rPr>
          <w:lang w:val="es-MX"/>
        </w:rPr>
        <w:t xml:space="preserve">En este sentido, el objetivo del factor de actualización </w:t>
      </w:r>
      <w:proofErr w:type="spellStart"/>
      <w:r w:rsidRPr="00B92CCA">
        <w:rPr>
          <w:lang w:val="es-MX"/>
        </w:rPr>
        <w:t>FAipc</w:t>
      </w:r>
      <w:proofErr w:type="spellEnd"/>
      <w:r w:rsidRPr="00B92CCA">
        <w:rPr>
          <w:lang w:val="es-MX"/>
        </w:rPr>
        <w:t xml:space="preserve"> consiste en cuantificar la variación porcentual</w:t>
      </w:r>
      <w:r w:rsidRPr="00874933">
        <w:rPr>
          <w:vertAlign w:val="superscript"/>
          <w:lang w:val="es-MX"/>
        </w:rPr>
        <w:footnoteReference w:id="1"/>
      </w:r>
      <w:r w:rsidRPr="00B92CCA">
        <w:rPr>
          <w:lang w:val="es-MX"/>
        </w:rPr>
        <w:t xml:space="preserve">  del índice de precios al consumidor (IPC) para un periodo específico de tiempo y expresar dicha variación en un formato adecuado para realizar la actualización de los costos y tarifas.</w:t>
      </w:r>
      <w:r w:rsidR="00A8540D">
        <w:rPr>
          <w:lang w:val="es-MX"/>
        </w:rPr>
        <w:t xml:space="preserve"> Este</w:t>
      </w:r>
      <w:r w:rsidRPr="00B92CCA">
        <w:rPr>
          <w:lang w:val="es-MX"/>
        </w:rPr>
        <w:t xml:space="preserve"> procedimiento puede ser llevado a cabo de dos formas diferentes, mediante las cuales se llega al mismo resultado:</w:t>
      </w:r>
    </w:p>
    <w:p w:rsidR="00C5090C" w:rsidRPr="00B92CCA" w:rsidRDefault="00C5090C" w:rsidP="00C5090C">
      <w:pPr>
        <w:spacing w:after="0" w:line="240" w:lineRule="auto"/>
        <w:jc w:val="both"/>
        <w:rPr>
          <w:lang w:val="es-MX"/>
        </w:rPr>
      </w:pPr>
    </w:p>
    <w:p w:rsidR="00C5090C" w:rsidRPr="00C61B09" w:rsidRDefault="00A8540D" w:rsidP="00C5090C">
      <w:pPr>
        <w:pStyle w:val="Prrafodelista"/>
        <w:numPr>
          <w:ilvl w:val="0"/>
          <w:numId w:val="9"/>
        </w:numPr>
        <w:spacing w:after="0" w:line="240" w:lineRule="auto"/>
        <w:rPr>
          <w:u w:val="single"/>
          <w:lang w:val="es-MX"/>
        </w:rPr>
      </w:pPr>
      <w:r>
        <w:rPr>
          <w:u w:val="single"/>
          <w:lang w:val="es-MX"/>
        </w:rPr>
        <w:t>Utilizar</w:t>
      </w:r>
      <w:r w:rsidR="00C5090C" w:rsidRPr="00C61B09">
        <w:rPr>
          <w:u w:val="single"/>
          <w:lang w:val="es-MX"/>
        </w:rPr>
        <w:t xml:space="preserve"> l</w:t>
      </w:r>
      <w:r>
        <w:rPr>
          <w:u w:val="single"/>
          <w:lang w:val="es-MX"/>
        </w:rPr>
        <w:t xml:space="preserve">a variación porcentual </w:t>
      </w:r>
      <w:r w:rsidR="00F63DE6">
        <w:rPr>
          <w:u w:val="single"/>
          <w:lang w:val="es-MX"/>
        </w:rPr>
        <w:t xml:space="preserve">mensual </w:t>
      </w:r>
      <w:r>
        <w:rPr>
          <w:u w:val="single"/>
          <w:lang w:val="es-MX"/>
        </w:rPr>
        <w:t>del IPC</w:t>
      </w:r>
      <w:r w:rsidR="00C5090C" w:rsidRPr="00C61B09">
        <w:rPr>
          <w:u w:val="single"/>
          <w:lang w:val="es-MX"/>
        </w:rPr>
        <w:t>.</w:t>
      </w:r>
    </w:p>
    <w:p w:rsidR="00C61B09" w:rsidRDefault="00C61B09" w:rsidP="00C5090C">
      <w:pPr>
        <w:spacing w:after="0" w:line="240" w:lineRule="auto"/>
        <w:jc w:val="both"/>
        <w:rPr>
          <w:lang w:val="es-MX"/>
        </w:rPr>
      </w:pPr>
    </w:p>
    <w:p w:rsidR="00C5090C" w:rsidRDefault="00A8540D" w:rsidP="00A8540D">
      <w:pPr>
        <w:spacing w:after="0" w:line="240" w:lineRule="auto"/>
        <w:jc w:val="both"/>
        <w:rPr>
          <w:lang w:val="es-MX"/>
        </w:rPr>
      </w:pPr>
      <w:r>
        <w:rPr>
          <w:lang w:val="es-MX"/>
        </w:rPr>
        <w:t xml:space="preserve">Para el efecto, se debe </w:t>
      </w:r>
      <w:r w:rsidR="009A2383">
        <w:rPr>
          <w:lang w:val="es-MX"/>
        </w:rPr>
        <w:t>calcular el</w:t>
      </w:r>
      <w:r>
        <w:rPr>
          <w:lang w:val="es-MX"/>
        </w:rPr>
        <w:t xml:space="preserve"> product</w:t>
      </w:r>
      <w:r w:rsidR="009A2383">
        <w:rPr>
          <w:lang w:val="es-MX"/>
        </w:rPr>
        <w:t>o</w:t>
      </w:r>
      <w:r>
        <w:rPr>
          <w:lang w:val="es-MX"/>
        </w:rPr>
        <w:t xml:space="preserve"> de </w:t>
      </w:r>
      <w:r w:rsidR="009A2383">
        <w:rPr>
          <w:lang w:val="es-MX"/>
        </w:rPr>
        <w:t>tod</w:t>
      </w:r>
      <w:r w:rsidR="008C5111">
        <w:rPr>
          <w:lang w:val="es-MX"/>
        </w:rPr>
        <w:t>a</w:t>
      </w:r>
      <w:r w:rsidR="009A2383">
        <w:rPr>
          <w:lang w:val="es-MX"/>
        </w:rPr>
        <w:t>s l</w:t>
      </w:r>
      <w:r w:rsidR="008C5111">
        <w:rPr>
          <w:lang w:val="es-MX"/>
        </w:rPr>
        <w:t>a</w:t>
      </w:r>
      <w:r w:rsidR="009A2383">
        <w:rPr>
          <w:lang w:val="es-MX"/>
        </w:rPr>
        <w:t xml:space="preserve">s </w:t>
      </w:r>
      <w:r w:rsidR="008C5111">
        <w:rPr>
          <w:lang w:val="es-MX"/>
        </w:rPr>
        <w:t xml:space="preserve">variaciones porcentuales </w:t>
      </w:r>
      <w:r>
        <w:rPr>
          <w:lang w:val="es-MX"/>
        </w:rPr>
        <w:t>mensuales</w:t>
      </w:r>
      <w:r w:rsidR="00DC74D3">
        <w:rPr>
          <w:lang w:val="es-MX"/>
        </w:rPr>
        <w:t xml:space="preserve"> del IPC</w:t>
      </w:r>
      <w:r>
        <w:rPr>
          <w:lang w:val="es-MX"/>
        </w:rPr>
        <w:t xml:space="preserve"> para todos los periodos</w:t>
      </w:r>
      <w:r w:rsidR="009A2383">
        <w:rPr>
          <w:lang w:val="es-MX"/>
        </w:rPr>
        <w:t xml:space="preserve"> para los que se desea evaluar la actualización</w:t>
      </w:r>
      <w:r>
        <w:rPr>
          <w:lang w:val="es-MX"/>
        </w:rPr>
        <w:t xml:space="preserve">, </w:t>
      </w:r>
      <w:r w:rsidR="00B07686">
        <w:rPr>
          <w:lang w:val="es-MX"/>
        </w:rPr>
        <w:t>considerando que a cada uno de ellos se le debe sumar uno (1), de acuerdo con la siguiente expresión:</w:t>
      </w:r>
    </w:p>
    <w:p w:rsidR="006E056F" w:rsidRDefault="006E056F" w:rsidP="00A8540D">
      <w:pPr>
        <w:spacing w:after="0" w:line="240" w:lineRule="auto"/>
        <w:jc w:val="both"/>
        <w:rPr>
          <w:lang w:val="es-MX"/>
        </w:rPr>
      </w:pPr>
    </w:p>
    <w:p w:rsidR="006E056F" w:rsidRPr="00677C4B" w:rsidRDefault="00DC74D3" w:rsidP="00051231">
      <w:pPr>
        <w:spacing w:after="0" w:line="240" w:lineRule="auto"/>
        <w:ind w:firstLine="708"/>
        <w:jc w:val="center"/>
        <w:rPr>
          <w:lang w:val="es-MX"/>
        </w:rPr>
      </w:pPr>
      <m:oMathPara>
        <m:oMath>
          <m:r>
            <w:rPr>
              <w:rFonts w:ascii="Cambria Math" w:hAnsi="Cambria Math"/>
              <w:lang w:val="es-MX"/>
            </w:rPr>
            <m:t xml:space="preserve">FAipc= </m:t>
          </m:r>
          <m:d>
            <m:dPr>
              <m:begChr m:val="["/>
              <m:endChr m:val="]"/>
              <m:ctrlPr>
                <w:rPr>
                  <w:rFonts w:ascii="Cambria Math" w:hAnsi="Cambria Math"/>
                  <w:i/>
                  <w:lang w:val="es-MX"/>
                </w:rPr>
              </m:ctrlPr>
            </m:dPr>
            <m:e>
              <m:d>
                <m:dPr>
                  <m:ctrlPr>
                    <w:rPr>
                      <w:rFonts w:ascii="Cambria Math" w:hAnsi="Cambria Math"/>
                      <w:i/>
                      <w:lang w:val="es-MX"/>
                    </w:rPr>
                  </m:ctrlPr>
                </m:dPr>
                <m:e>
                  <m:r>
                    <w:rPr>
                      <w:rFonts w:ascii="Cambria Math" w:hAnsi="Cambria Math"/>
                      <w:lang w:val="es-MX"/>
                    </w:rPr>
                    <m:t>1</m:t>
                  </m:r>
                  <m:r>
                    <w:rPr>
                      <w:rFonts w:ascii="Cambria Math" w:hAnsi="Cambria Math"/>
                      <w:lang w:val="es-MX"/>
                    </w:rPr>
                    <m:t>00%</m:t>
                  </m:r>
                  <m:r>
                    <w:rPr>
                      <w:rFonts w:ascii="Cambria Math" w:hAnsi="Cambria Math"/>
                      <w:lang w:val="es-MX"/>
                    </w:rPr>
                    <m:t>+∆</m:t>
                  </m:r>
                  <m:sSub>
                    <m:sSubPr>
                      <m:ctrlPr>
                        <w:rPr>
                          <w:rFonts w:ascii="Cambria Math" w:hAnsi="Cambria Math"/>
                          <w:i/>
                          <w:lang w:val="es-MX"/>
                        </w:rPr>
                      </m:ctrlPr>
                    </m:sSubPr>
                    <m:e>
                      <m:r>
                        <w:rPr>
                          <w:rFonts w:ascii="Cambria Math" w:hAnsi="Cambria Math"/>
                          <w:lang w:val="es-MX"/>
                        </w:rPr>
                        <m:t>IPC</m:t>
                      </m:r>
                    </m:e>
                    <m:sub>
                      <m:r>
                        <w:rPr>
                          <w:rFonts w:ascii="Cambria Math" w:hAnsi="Cambria Math"/>
                          <w:lang w:val="es-MX"/>
                        </w:rPr>
                        <m:t>t</m:t>
                      </m:r>
                    </m:sub>
                  </m:sSub>
                </m:e>
              </m:d>
              <m:r>
                <w:rPr>
                  <w:rFonts w:ascii="Cambria Math" w:hAnsi="Cambria Math"/>
                  <w:lang w:val="es-MX"/>
                </w:rPr>
                <m:t>*</m:t>
              </m:r>
              <m:d>
                <m:dPr>
                  <m:ctrlPr>
                    <w:rPr>
                      <w:rFonts w:ascii="Cambria Math" w:hAnsi="Cambria Math"/>
                      <w:i/>
                      <w:lang w:val="es-MX"/>
                    </w:rPr>
                  </m:ctrlPr>
                </m:dPr>
                <m:e>
                  <m:r>
                    <w:rPr>
                      <w:rFonts w:ascii="Cambria Math" w:hAnsi="Cambria Math"/>
                      <w:lang w:val="es-MX"/>
                    </w:rPr>
                    <m:t>1</m:t>
                  </m:r>
                  <m:r>
                    <w:rPr>
                      <w:rFonts w:ascii="Cambria Math" w:hAnsi="Cambria Math"/>
                      <w:lang w:val="es-MX"/>
                    </w:rPr>
                    <m:t>00%</m:t>
                  </m:r>
                  <m:r>
                    <w:rPr>
                      <w:rFonts w:ascii="Cambria Math" w:hAnsi="Cambria Math"/>
                      <w:lang w:val="es-MX"/>
                    </w:rPr>
                    <m:t>+∆</m:t>
                  </m:r>
                  <m:sSub>
                    <m:sSubPr>
                      <m:ctrlPr>
                        <w:rPr>
                          <w:rFonts w:ascii="Cambria Math" w:hAnsi="Cambria Math"/>
                          <w:i/>
                          <w:lang w:val="es-MX"/>
                        </w:rPr>
                      </m:ctrlPr>
                    </m:sSubPr>
                    <m:e>
                      <m:r>
                        <w:rPr>
                          <w:rFonts w:ascii="Cambria Math" w:hAnsi="Cambria Math"/>
                          <w:lang w:val="es-MX"/>
                        </w:rPr>
                        <m:t>IPC</m:t>
                      </m:r>
                    </m:e>
                    <m:sub>
                      <m:r>
                        <w:rPr>
                          <w:rFonts w:ascii="Cambria Math" w:hAnsi="Cambria Math"/>
                          <w:lang w:val="es-MX"/>
                        </w:rPr>
                        <m:t>t+1</m:t>
                      </m:r>
                    </m:sub>
                  </m:sSub>
                </m:e>
              </m:d>
              <m:r>
                <w:rPr>
                  <w:rFonts w:ascii="Cambria Math" w:hAnsi="Cambria Math"/>
                  <w:lang w:val="es-MX"/>
                </w:rPr>
                <m:t>*</m:t>
              </m:r>
              <m:d>
                <m:dPr>
                  <m:ctrlPr>
                    <w:rPr>
                      <w:rFonts w:ascii="Cambria Math" w:hAnsi="Cambria Math"/>
                      <w:i/>
                      <w:lang w:val="es-MX"/>
                    </w:rPr>
                  </m:ctrlPr>
                </m:dPr>
                <m:e>
                  <m:r>
                    <w:rPr>
                      <w:rFonts w:ascii="Cambria Math" w:hAnsi="Cambria Math"/>
                      <w:lang w:val="es-MX"/>
                    </w:rPr>
                    <m:t>1</m:t>
                  </m:r>
                  <m:r>
                    <w:rPr>
                      <w:rFonts w:ascii="Cambria Math" w:hAnsi="Cambria Math"/>
                      <w:lang w:val="es-MX"/>
                    </w:rPr>
                    <m:t>00%</m:t>
                  </m:r>
                  <m:r>
                    <w:rPr>
                      <w:rFonts w:ascii="Cambria Math" w:hAnsi="Cambria Math"/>
                      <w:lang w:val="es-MX"/>
                    </w:rPr>
                    <m:t>+∆</m:t>
                  </m:r>
                  <m:sSub>
                    <m:sSubPr>
                      <m:ctrlPr>
                        <w:rPr>
                          <w:rFonts w:ascii="Cambria Math" w:hAnsi="Cambria Math"/>
                          <w:i/>
                          <w:lang w:val="es-MX"/>
                        </w:rPr>
                      </m:ctrlPr>
                    </m:sSubPr>
                    <m:e>
                      <m:r>
                        <w:rPr>
                          <w:rFonts w:ascii="Cambria Math" w:hAnsi="Cambria Math"/>
                          <w:lang w:val="es-MX"/>
                        </w:rPr>
                        <m:t>IPC</m:t>
                      </m:r>
                    </m:e>
                    <m:sub>
                      <m:r>
                        <w:rPr>
                          <w:rFonts w:ascii="Cambria Math" w:hAnsi="Cambria Math"/>
                          <w:lang w:val="es-MX"/>
                        </w:rPr>
                        <m:t>t+2</m:t>
                      </m:r>
                    </m:sub>
                  </m:sSub>
                </m:e>
              </m:d>
              <m:r>
                <w:rPr>
                  <w:rFonts w:ascii="Cambria Math" w:hAnsi="Cambria Math"/>
                  <w:lang w:val="es-MX"/>
                </w:rPr>
                <m:t>*</m:t>
              </m:r>
              <m:d>
                <m:dPr>
                  <m:ctrlPr>
                    <w:rPr>
                      <w:rFonts w:ascii="Cambria Math" w:hAnsi="Cambria Math"/>
                      <w:i/>
                      <w:lang w:val="es-MX"/>
                    </w:rPr>
                  </m:ctrlPr>
                </m:dPr>
                <m:e>
                  <m:r>
                    <w:rPr>
                      <w:rFonts w:ascii="Cambria Math" w:hAnsi="Cambria Math"/>
                      <w:lang w:val="es-MX"/>
                    </w:rPr>
                    <m:t>1</m:t>
                  </m:r>
                  <m:r>
                    <w:rPr>
                      <w:rFonts w:ascii="Cambria Math" w:hAnsi="Cambria Math"/>
                      <w:lang w:val="es-MX"/>
                    </w:rPr>
                    <m:t>00%</m:t>
                  </m:r>
                  <m:r>
                    <w:rPr>
                      <w:rFonts w:ascii="Cambria Math" w:hAnsi="Cambria Math"/>
                      <w:lang w:val="es-MX"/>
                    </w:rPr>
                    <m:t>+∆</m:t>
                  </m:r>
                  <m:sSub>
                    <m:sSubPr>
                      <m:ctrlPr>
                        <w:rPr>
                          <w:rFonts w:ascii="Cambria Math" w:hAnsi="Cambria Math"/>
                          <w:i/>
                          <w:lang w:val="es-MX"/>
                        </w:rPr>
                      </m:ctrlPr>
                    </m:sSubPr>
                    <m:e>
                      <m:r>
                        <w:rPr>
                          <w:rFonts w:ascii="Cambria Math" w:hAnsi="Cambria Math"/>
                          <w:lang w:val="es-MX"/>
                        </w:rPr>
                        <m:t>IPC</m:t>
                      </m:r>
                    </m:e>
                    <m:sub>
                      <m:r>
                        <w:rPr>
                          <w:rFonts w:ascii="Cambria Math" w:hAnsi="Cambria Math"/>
                          <w:lang w:val="es-MX"/>
                        </w:rPr>
                        <m:t>t+n</m:t>
                      </m:r>
                    </m:sub>
                  </m:sSub>
                </m:e>
              </m:d>
            </m:e>
          </m:d>
        </m:oMath>
      </m:oMathPara>
      <w:bookmarkStart w:id="6" w:name="_GoBack"/>
      <w:bookmarkEnd w:id="6"/>
    </w:p>
    <w:p w:rsidR="007C1015" w:rsidRPr="007523A4" w:rsidRDefault="00AD4A31" w:rsidP="00AD4A31">
      <w:pPr>
        <w:spacing w:after="0" w:line="240" w:lineRule="auto"/>
        <w:jc w:val="both"/>
        <w:rPr>
          <w:lang w:val="es-MX"/>
        </w:rPr>
      </w:pPr>
      <w:r>
        <w:rPr>
          <w:lang w:val="es-MX"/>
        </w:rPr>
        <w:br/>
      </w:r>
    </w:p>
    <w:p w:rsidR="007C1015" w:rsidRPr="007523A4" w:rsidRDefault="007C1015" w:rsidP="00AD4A31">
      <w:pPr>
        <w:spacing w:after="0" w:line="240" w:lineRule="auto"/>
        <w:jc w:val="both"/>
        <w:rPr>
          <w:lang w:val="es-MX"/>
        </w:rPr>
      </w:pPr>
    </w:p>
    <w:p w:rsidR="00B07686" w:rsidRDefault="00B07686" w:rsidP="00AD4A31">
      <w:pPr>
        <w:spacing w:after="0" w:line="240" w:lineRule="auto"/>
        <w:jc w:val="both"/>
        <w:rPr>
          <w:lang w:val="es-MX"/>
        </w:rPr>
      </w:pPr>
    </w:p>
    <w:p w:rsidR="00AD4A31" w:rsidRPr="00677C4B" w:rsidRDefault="00AD4A31" w:rsidP="00AD4A31">
      <w:pPr>
        <w:spacing w:after="0" w:line="240" w:lineRule="auto"/>
        <w:jc w:val="both"/>
        <w:rPr>
          <w:lang w:val="es-MX"/>
        </w:rPr>
      </w:pPr>
    </w:p>
    <w:p w:rsidR="00DC74D3" w:rsidRDefault="00DC74D3" w:rsidP="00A8540D">
      <w:pPr>
        <w:spacing w:after="0" w:line="240" w:lineRule="auto"/>
        <w:jc w:val="both"/>
        <w:rPr>
          <w:lang w:val="es-MX"/>
        </w:rPr>
      </w:pPr>
    </w:p>
    <w:p w:rsidR="00DC74D3" w:rsidRDefault="002E3CDC" w:rsidP="00A8540D">
      <w:pPr>
        <w:spacing w:after="0" w:line="240" w:lineRule="auto"/>
        <w:jc w:val="both"/>
        <w:rPr>
          <w:lang w:val="es-MX"/>
        </w:rPr>
      </w:pPr>
      <w:proofErr w:type="spellStart"/>
      <w:r>
        <w:rPr>
          <w:lang w:val="es-MX"/>
        </w:rPr>
        <w:lastRenderedPageBreak/>
        <w:t>D</w:t>
      </w:r>
      <w:r w:rsidR="00D06CC3">
        <w:rPr>
          <w:lang w:val="es-MX"/>
        </w:rPr>
        <w:t>o</w:t>
      </w:r>
      <w:r>
        <w:rPr>
          <w:lang w:val="es-MX"/>
        </w:rPr>
        <w:t>nde</w:t>
      </w:r>
      <w:proofErr w:type="spellEnd"/>
      <w:r w:rsidR="00DC74D3">
        <w:rPr>
          <w:lang w:val="es-MX"/>
        </w:rPr>
        <w:t>:</w:t>
      </w:r>
    </w:p>
    <w:p w:rsidR="00DC74D3" w:rsidRDefault="00DC74D3" w:rsidP="00A8540D">
      <w:pPr>
        <w:spacing w:after="0" w:line="240" w:lineRule="auto"/>
        <w:jc w:val="both"/>
        <w:rPr>
          <w:lang w:val="es-MX"/>
        </w:rPr>
      </w:pPr>
    </w:p>
    <w:p w:rsidR="00DC74D3" w:rsidRDefault="00DC74D3" w:rsidP="00D06CC3">
      <w:pPr>
        <w:spacing w:after="0" w:line="240" w:lineRule="auto"/>
        <w:jc w:val="both"/>
        <w:rPr>
          <w:lang w:val="es-MX"/>
        </w:rPr>
      </w:pPr>
      <w:proofErr w:type="spellStart"/>
      <w:r w:rsidRPr="00B92CCA">
        <w:rPr>
          <w:lang w:val="es-MX"/>
        </w:rPr>
        <w:t>FAipc</w:t>
      </w:r>
      <w:proofErr w:type="spellEnd"/>
      <w:r w:rsidRPr="00B92CCA">
        <w:rPr>
          <w:lang w:val="es-MX"/>
        </w:rPr>
        <w:t xml:space="preserve">: Factor de Actualización por IPC, el cual podrá ser aplicado cada vez que se acumule una variación de, por lo menos, el tres por ciento (3%) en el Índice de Precios al Consumidor reportado por el DANE. </w:t>
      </w:r>
    </w:p>
    <w:p w:rsidR="00DC74D3" w:rsidRDefault="00DC74D3" w:rsidP="00D06CC3">
      <w:pPr>
        <w:spacing w:after="0" w:line="240" w:lineRule="auto"/>
        <w:jc w:val="both"/>
        <w:rPr>
          <w:lang w:val="es-MX"/>
        </w:rPr>
      </w:pPr>
    </w:p>
    <w:p w:rsidR="00DC74D3" w:rsidRDefault="00DC74D3" w:rsidP="00D06CC3">
      <w:pPr>
        <w:spacing w:after="0" w:line="240" w:lineRule="auto"/>
        <w:jc w:val="both"/>
        <w:rPr>
          <w:lang w:val="es-MX"/>
        </w:rPr>
      </w:pPr>
      <m:oMath>
        <m:r>
          <w:rPr>
            <w:rFonts w:ascii="Cambria Math" w:hAnsi="Cambria Math"/>
            <w:lang w:val="es-MX"/>
          </w:rPr>
          <m:t>∆IPC</m:t>
        </m:r>
      </m:oMath>
      <w:r>
        <w:rPr>
          <w:lang w:val="es-MX"/>
        </w:rPr>
        <w:t xml:space="preserve"> : Variación porcentual </w:t>
      </w:r>
      <w:r w:rsidR="002E3CDC">
        <w:rPr>
          <w:lang w:val="es-MX"/>
        </w:rPr>
        <w:t xml:space="preserve">mensual </w:t>
      </w:r>
      <w:r w:rsidR="00F63DE6">
        <w:rPr>
          <w:lang w:val="es-MX"/>
        </w:rPr>
        <w:t>del IPC</w:t>
      </w:r>
      <w:r w:rsidR="007C1015">
        <w:rPr>
          <w:lang w:val="es-MX"/>
        </w:rPr>
        <w:t>, expresada como decimal</w:t>
      </w:r>
      <w:r w:rsidR="00F63DE6">
        <w:rPr>
          <w:lang w:val="es-MX"/>
        </w:rPr>
        <w:t>.</w:t>
      </w:r>
    </w:p>
    <w:p w:rsidR="00F63DE6" w:rsidRDefault="00F63DE6" w:rsidP="00D06CC3">
      <w:pPr>
        <w:spacing w:after="0" w:line="240" w:lineRule="auto"/>
        <w:jc w:val="both"/>
        <w:rPr>
          <w:lang w:val="es-MX"/>
        </w:rPr>
      </w:pPr>
    </w:p>
    <w:p w:rsidR="002E3CDC" w:rsidRDefault="002E3CDC" w:rsidP="00D06CC3">
      <w:pPr>
        <w:spacing w:after="0" w:line="240" w:lineRule="auto"/>
        <w:jc w:val="both"/>
        <w:rPr>
          <w:lang w:val="es-MX"/>
        </w:rPr>
      </w:pPr>
      <w:proofErr w:type="gramStart"/>
      <w:r>
        <w:rPr>
          <w:lang w:val="es-MX"/>
        </w:rPr>
        <w:t>t</w:t>
      </w:r>
      <w:proofErr w:type="gramEnd"/>
      <w:r>
        <w:rPr>
          <w:lang w:val="es-MX"/>
        </w:rPr>
        <w:t xml:space="preserve">: </w:t>
      </w:r>
      <w:r w:rsidR="00F63DE6">
        <w:rPr>
          <w:lang w:val="es-MX"/>
        </w:rPr>
        <w:t>Mes</w:t>
      </w:r>
      <w:r w:rsidR="00020C26">
        <w:rPr>
          <w:lang w:val="es-MX"/>
        </w:rPr>
        <w:t xml:space="preserve"> inicial de estimación del </w:t>
      </w:r>
      <w:proofErr w:type="spellStart"/>
      <w:r w:rsidR="00020C26">
        <w:rPr>
          <w:lang w:val="es-MX"/>
        </w:rPr>
        <w:t>FAipc</w:t>
      </w:r>
      <w:proofErr w:type="spellEnd"/>
      <w:r w:rsidR="00F63DE6">
        <w:rPr>
          <w:lang w:val="es-MX"/>
        </w:rPr>
        <w:t>.</w:t>
      </w:r>
    </w:p>
    <w:p w:rsidR="00F63DE6" w:rsidRDefault="00F63DE6" w:rsidP="00D06CC3">
      <w:pPr>
        <w:spacing w:after="0" w:line="240" w:lineRule="auto"/>
        <w:jc w:val="both"/>
        <w:rPr>
          <w:lang w:val="es-MX"/>
        </w:rPr>
      </w:pPr>
    </w:p>
    <w:p w:rsidR="00F63DE6" w:rsidRPr="00677C4B" w:rsidRDefault="00F63DE6" w:rsidP="00D06CC3">
      <w:pPr>
        <w:spacing w:after="0" w:line="240" w:lineRule="auto"/>
        <w:jc w:val="both"/>
        <w:rPr>
          <w:lang w:val="es-MX"/>
        </w:rPr>
      </w:pPr>
      <w:proofErr w:type="gramStart"/>
      <w:r>
        <w:rPr>
          <w:lang w:val="es-MX"/>
        </w:rPr>
        <w:t>n</w:t>
      </w:r>
      <w:proofErr w:type="gramEnd"/>
      <w:r>
        <w:rPr>
          <w:lang w:val="es-MX"/>
        </w:rPr>
        <w:t>:</w:t>
      </w:r>
      <w:r w:rsidR="00CD5E93">
        <w:rPr>
          <w:lang w:val="es-MX"/>
        </w:rPr>
        <w:t xml:space="preserve"> </w:t>
      </w:r>
      <w:r w:rsidR="00AD4A31">
        <w:rPr>
          <w:lang w:val="es-MX"/>
        </w:rPr>
        <w:t>M</w:t>
      </w:r>
      <w:r w:rsidR="00CD5E93">
        <w:rPr>
          <w:lang w:val="es-MX"/>
        </w:rPr>
        <w:t>es</w:t>
      </w:r>
      <w:r w:rsidR="00AD4A31">
        <w:rPr>
          <w:lang w:val="es-MX"/>
        </w:rPr>
        <w:t xml:space="preserve"> al final del periodo de análisis para </w:t>
      </w:r>
      <w:r w:rsidR="00CD5E93">
        <w:rPr>
          <w:lang w:val="es-MX"/>
        </w:rPr>
        <w:t xml:space="preserve">la estimación del </w:t>
      </w:r>
      <w:proofErr w:type="spellStart"/>
      <w:r w:rsidR="00CD5E93">
        <w:rPr>
          <w:lang w:val="es-MX"/>
        </w:rPr>
        <w:t>FAipc</w:t>
      </w:r>
      <w:proofErr w:type="spellEnd"/>
      <w:r w:rsidR="00020C26">
        <w:rPr>
          <w:lang w:val="es-MX"/>
        </w:rPr>
        <w:t>.</w:t>
      </w:r>
    </w:p>
    <w:p w:rsidR="00DC74D3" w:rsidRDefault="00DC74D3" w:rsidP="00A8540D">
      <w:pPr>
        <w:spacing w:after="0" w:line="240" w:lineRule="auto"/>
        <w:jc w:val="both"/>
        <w:rPr>
          <w:lang w:val="es-MX"/>
        </w:rPr>
      </w:pPr>
    </w:p>
    <w:p w:rsidR="00C5090C" w:rsidRPr="00B92CCA" w:rsidRDefault="00C5090C" w:rsidP="00C5090C">
      <w:pPr>
        <w:spacing w:after="0" w:line="240" w:lineRule="auto"/>
        <w:ind w:left="705"/>
        <w:jc w:val="both"/>
        <w:rPr>
          <w:lang w:val="es-MX"/>
        </w:rPr>
      </w:pPr>
    </w:p>
    <w:p w:rsidR="00C5090C" w:rsidRPr="00A8540D" w:rsidRDefault="00C5090C" w:rsidP="00C5090C">
      <w:pPr>
        <w:pStyle w:val="Prrafodelista"/>
        <w:numPr>
          <w:ilvl w:val="0"/>
          <w:numId w:val="9"/>
        </w:numPr>
        <w:spacing w:after="0" w:line="240" w:lineRule="auto"/>
        <w:rPr>
          <w:lang w:val="es-MX"/>
        </w:rPr>
      </w:pPr>
      <w:r w:rsidRPr="00A8540D">
        <w:rPr>
          <w:u w:val="single"/>
          <w:lang w:val="es-MX"/>
        </w:rPr>
        <w:t xml:space="preserve">Estimar el radio entre el índice IPC del periodo meta y el Índice IPC del periodo base. </w:t>
      </w:r>
    </w:p>
    <w:p w:rsidR="00A8540D" w:rsidRDefault="00A8540D" w:rsidP="00A8540D">
      <w:pPr>
        <w:pStyle w:val="Prrafodelista"/>
        <w:spacing w:after="0" w:line="240" w:lineRule="auto"/>
        <w:ind w:left="0"/>
        <w:rPr>
          <w:u w:val="single"/>
          <w:lang w:val="es-MX"/>
        </w:rPr>
      </w:pPr>
    </w:p>
    <w:p w:rsidR="00A8540D" w:rsidRDefault="00A8540D" w:rsidP="00A8540D">
      <w:pPr>
        <w:pStyle w:val="Prrafodelista"/>
        <w:spacing w:after="0" w:line="240" w:lineRule="auto"/>
        <w:ind w:left="0"/>
        <w:rPr>
          <w:lang w:val="es-MX"/>
        </w:rPr>
      </w:pPr>
      <w:r w:rsidRPr="00A8540D">
        <w:rPr>
          <w:lang w:val="es-MX"/>
        </w:rPr>
        <w:t>Tal y como se establece en el artículo 5 de la Resolución CRA 543 de 2011</w:t>
      </w:r>
      <w:r>
        <w:rPr>
          <w:lang w:val="es-MX"/>
        </w:rPr>
        <w:t>, se calcula la relación entre los índices de cada uno de los momentos del tiempo entre los que se desea evaluar la actualización</w:t>
      </w:r>
      <w:r w:rsidR="009C53D1">
        <w:rPr>
          <w:lang w:val="es-MX"/>
        </w:rPr>
        <w:t>.</w:t>
      </w:r>
      <w:r>
        <w:rPr>
          <w:lang w:val="es-MX"/>
        </w:rPr>
        <w:t xml:space="preserve"> </w:t>
      </w:r>
    </w:p>
    <w:p w:rsidR="00A8540D" w:rsidRPr="00A8540D" w:rsidRDefault="00A8540D" w:rsidP="00A8540D">
      <w:pPr>
        <w:pStyle w:val="Prrafodelista"/>
        <w:spacing w:after="0" w:line="240" w:lineRule="auto"/>
        <w:ind w:left="0"/>
        <w:rPr>
          <w:lang w:val="es-MX"/>
        </w:rPr>
      </w:pPr>
    </w:p>
    <w:p w:rsidR="00C5090C" w:rsidRPr="00B92CCA" w:rsidRDefault="006E056F" w:rsidP="00C61B09">
      <w:pPr>
        <w:spacing w:after="0" w:line="240" w:lineRule="auto"/>
        <w:ind w:left="360"/>
        <w:jc w:val="center"/>
        <w:rPr>
          <w:lang w:val="es-MX"/>
        </w:rPr>
      </w:pPr>
      <w:r w:rsidRPr="006E056F">
        <w:rPr>
          <w:position w:val="-30"/>
          <w:lang w:val="es-MX"/>
        </w:rPr>
        <w:object w:dxaOrig="1460" w:dyaOrig="680">
          <v:shape id="_x0000_i1028" type="#_x0000_t75" style="width:73pt;height:34pt" o:ole="">
            <v:imagedata r:id="rId17" o:title=""/>
          </v:shape>
          <o:OLEObject Type="Embed" ProgID="Equation.3" ShapeID="_x0000_i1028" DrawAspect="Content" ObjectID="_1403436295" r:id="rId18"/>
        </w:object>
      </w:r>
      <w:r w:rsidR="00C5090C" w:rsidRPr="00B92CCA">
        <w:rPr>
          <w:lang w:val="es-MX"/>
        </w:rPr>
        <w:fldChar w:fldCharType="begin"/>
      </w:r>
      <w:r w:rsidR="00C5090C" w:rsidRPr="00B92CCA">
        <w:rPr>
          <w:lang w:val="es-MX"/>
        </w:rPr>
        <w:instrText xml:space="preserve"> QUOTE </w:instrText>
      </w:r>
      <w:r w:rsidR="00C5090C" w:rsidRPr="00B92CCA">
        <w:rPr>
          <w:lang w:val="es-MX"/>
        </w:rPr>
        <w:fldChar w:fldCharType="begin"/>
      </w:r>
      <w:r w:rsidR="00C5090C" w:rsidRPr="00B92CCA">
        <w:rPr>
          <w:lang w:val="es-MX"/>
        </w:rPr>
        <w:instrText xml:space="preserve"> QUOTE </w:instrText>
      </w:r>
      <w:r>
        <w:rPr>
          <w:noProof/>
          <w:lang w:val="es-CO" w:eastAsia="es-CO"/>
        </w:rPr>
        <w:drawing>
          <wp:inline distT="0" distB="0" distL="0" distR="0" wp14:anchorId="49EB9651" wp14:editId="6DF273EB">
            <wp:extent cx="1121410" cy="325755"/>
            <wp:effectExtent l="0" t="0" r="254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325755"/>
                    </a:xfrm>
                    <a:prstGeom prst="rect">
                      <a:avLst/>
                    </a:prstGeom>
                    <a:noFill/>
                    <a:ln>
                      <a:noFill/>
                    </a:ln>
                  </pic:spPr>
                </pic:pic>
              </a:graphicData>
            </a:graphic>
          </wp:inline>
        </w:drawing>
      </w:r>
      <w:r w:rsidR="00C5090C" w:rsidRPr="00B92CCA">
        <w:rPr>
          <w:lang w:val="es-MX"/>
        </w:rPr>
        <w:instrText xml:space="preserve"> </w:instrText>
      </w:r>
      <w:r w:rsidR="00C5090C" w:rsidRPr="00B92CCA">
        <w:rPr>
          <w:lang w:val="es-MX"/>
        </w:rPr>
        <w:fldChar w:fldCharType="separate"/>
      </w:r>
      <w:r>
        <w:rPr>
          <w:noProof/>
          <w:lang w:val="es-CO" w:eastAsia="es-CO"/>
        </w:rPr>
        <w:drawing>
          <wp:inline distT="0" distB="0" distL="0" distR="0" wp14:anchorId="0955FE0D" wp14:editId="42FFFFFB">
            <wp:extent cx="1121410" cy="325755"/>
            <wp:effectExtent l="0" t="0" r="254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325755"/>
                    </a:xfrm>
                    <a:prstGeom prst="rect">
                      <a:avLst/>
                    </a:prstGeom>
                    <a:noFill/>
                    <a:ln>
                      <a:noFill/>
                    </a:ln>
                  </pic:spPr>
                </pic:pic>
              </a:graphicData>
            </a:graphic>
          </wp:inline>
        </w:drawing>
      </w:r>
      <w:r w:rsidR="00C5090C" w:rsidRPr="00B92CCA">
        <w:rPr>
          <w:lang w:val="es-MX"/>
        </w:rPr>
        <w:fldChar w:fldCharType="end"/>
      </w:r>
      <w:r w:rsidR="00C5090C" w:rsidRPr="00B92CCA">
        <w:rPr>
          <w:lang w:val="es-MX"/>
        </w:rPr>
        <w:instrText xml:space="preserve"> </w:instrText>
      </w:r>
      <w:r w:rsidR="00C5090C" w:rsidRPr="00B92CCA">
        <w:rPr>
          <w:lang w:val="es-MX"/>
        </w:rPr>
        <w:fldChar w:fldCharType="end"/>
      </w:r>
      <w:r w:rsidR="00C61B09">
        <w:rPr>
          <w:lang w:val="es-MX"/>
        </w:rPr>
        <w:tab/>
      </w:r>
    </w:p>
    <w:p w:rsidR="00C5090C" w:rsidRPr="00B92CCA" w:rsidRDefault="00123043" w:rsidP="001915DA">
      <w:pPr>
        <w:spacing w:after="0" w:line="240" w:lineRule="auto"/>
        <w:jc w:val="both"/>
        <w:rPr>
          <w:lang w:val="es-MX"/>
        </w:rPr>
      </w:pPr>
      <w:r w:rsidRPr="00B92CCA">
        <w:rPr>
          <w:lang w:val="es-MX"/>
        </w:rPr>
        <w:t>Dónde</w:t>
      </w:r>
      <w:r w:rsidR="00C5090C" w:rsidRPr="00B92CCA">
        <w:rPr>
          <w:lang w:val="es-MX"/>
        </w:rPr>
        <w:t>:</w:t>
      </w:r>
    </w:p>
    <w:p w:rsidR="00DC74D3" w:rsidRDefault="00DC74D3" w:rsidP="00C5090C">
      <w:pPr>
        <w:spacing w:after="0" w:line="240" w:lineRule="auto"/>
        <w:ind w:left="708"/>
        <w:jc w:val="both"/>
        <w:rPr>
          <w:lang w:val="es-MX"/>
        </w:rPr>
      </w:pPr>
    </w:p>
    <w:p w:rsidR="00C5090C" w:rsidRPr="00B92CCA" w:rsidRDefault="00C5090C" w:rsidP="001915DA">
      <w:pPr>
        <w:spacing w:after="0" w:line="240" w:lineRule="auto"/>
        <w:jc w:val="both"/>
        <w:rPr>
          <w:lang w:val="es-MX"/>
        </w:rPr>
      </w:pPr>
      <w:proofErr w:type="spellStart"/>
      <w:r w:rsidRPr="00B92CCA">
        <w:rPr>
          <w:lang w:val="es-MX"/>
        </w:rPr>
        <w:t>FAipc</w:t>
      </w:r>
      <w:proofErr w:type="spellEnd"/>
      <w:r w:rsidRPr="00B92CCA">
        <w:rPr>
          <w:lang w:val="es-MX"/>
        </w:rPr>
        <w:t xml:space="preserve">: Factor de Actualización por IPC, el cual podrá ser aplicado cada vez que se acumule una variación de, por lo menos, el tres por ciento (3%) en el Índice de Precios al Consumidor reportado por el DANE. </w:t>
      </w:r>
    </w:p>
    <w:p w:rsidR="0044307F" w:rsidRDefault="0044307F" w:rsidP="00C5090C">
      <w:pPr>
        <w:spacing w:after="0" w:line="240" w:lineRule="auto"/>
        <w:ind w:left="708"/>
        <w:jc w:val="both"/>
        <w:rPr>
          <w:lang w:val="es-MX"/>
        </w:rPr>
      </w:pPr>
    </w:p>
    <w:p w:rsidR="00C5090C" w:rsidRPr="00B92CCA" w:rsidRDefault="00C5090C" w:rsidP="001915DA">
      <w:pPr>
        <w:spacing w:after="0" w:line="240" w:lineRule="auto"/>
        <w:jc w:val="both"/>
        <w:rPr>
          <w:lang w:val="es-MX"/>
        </w:rPr>
      </w:pPr>
      <w:r w:rsidRPr="00B92CCA">
        <w:rPr>
          <w:lang w:val="es-MX"/>
        </w:rPr>
        <w:t>IPC t: Índice de Precios al Consumidor reportado por el DANE del mes seleccionado por el prestador, para efectos de realizar la actualización por concepto de IPC (mes final).</w:t>
      </w:r>
    </w:p>
    <w:p w:rsidR="0044307F" w:rsidRDefault="0044307F" w:rsidP="00C5090C">
      <w:pPr>
        <w:spacing w:after="0" w:line="240" w:lineRule="auto"/>
        <w:ind w:left="708"/>
        <w:jc w:val="both"/>
        <w:rPr>
          <w:lang w:val="es-MX"/>
        </w:rPr>
      </w:pPr>
    </w:p>
    <w:p w:rsidR="00C5090C" w:rsidRPr="00B92CCA" w:rsidRDefault="00C5090C" w:rsidP="001915DA">
      <w:pPr>
        <w:spacing w:after="0" w:line="240" w:lineRule="auto"/>
        <w:jc w:val="both"/>
        <w:rPr>
          <w:lang w:val="es-MX"/>
        </w:rPr>
      </w:pPr>
      <w:r w:rsidRPr="00B92CCA">
        <w:rPr>
          <w:lang w:val="es-MX"/>
        </w:rPr>
        <w:t>IPC t-1: Índice de Precios al Consumidor reportado por el DANE correspondiente al último mes en el cual se realizó la actualización por concepto de IPC o aquel que el prestador seleccione como mes base para la actualización, el cual no podrá ser anterior al momento en el que se aplicó la última indexación (…)”.</w:t>
      </w:r>
    </w:p>
    <w:p w:rsidR="00C5090C" w:rsidRDefault="00C5090C" w:rsidP="00C5090C">
      <w:pPr>
        <w:spacing w:after="0" w:line="240" w:lineRule="auto"/>
        <w:jc w:val="both"/>
        <w:rPr>
          <w:lang w:val="es-MX"/>
        </w:rPr>
      </w:pPr>
    </w:p>
    <w:p w:rsidR="00C5090C" w:rsidRDefault="00FD1CFA" w:rsidP="00C5090C">
      <w:pPr>
        <w:spacing w:after="0" w:line="240" w:lineRule="auto"/>
        <w:jc w:val="both"/>
        <w:rPr>
          <w:lang w:val="es-MX"/>
        </w:rPr>
      </w:pPr>
      <w:r>
        <w:rPr>
          <w:lang w:val="es-MX"/>
        </w:rPr>
        <w:t>A manera de ejemplo, e</w:t>
      </w:r>
      <w:r w:rsidR="00C5090C" w:rsidRPr="00B92CCA">
        <w:rPr>
          <w:lang w:val="es-MX"/>
        </w:rPr>
        <w:t>n el cuadro que se presenta a continuación, se comparan los dos métodos de estimación para actualizar las tarifas por la variación porcentual del IPC</w:t>
      </w:r>
      <w:r w:rsidR="00266F74">
        <w:rPr>
          <w:lang w:val="es-MX"/>
        </w:rPr>
        <w:t>,</w:t>
      </w:r>
      <w:r w:rsidR="00C5090C" w:rsidRPr="00B92CCA">
        <w:rPr>
          <w:lang w:val="es-MX"/>
        </w:rPr>
        <w:t xml:space="preserve"> entre enero de 2011 y enero de 2012.</w:t>
      </w:r>
    </w:p>
    <w:p w:rsidR="00266F74" w:rsidRDefault="00266F74" w:rsidP="00C5090C">
      <w:pPr>
        <w:spacing w:after="0" w:line="240" w:lineRule="auto"/>
        <w:jc w:val="both"/>
        <w:rPr>
          <w:lang w:val="es-MX"/>
        </w:rPr>
      </w:pPr>
    </w:p>
    <w:tbl>
      <w:tblPr>
        <w:tblStyle w:val="Tablaconcuadrcula"/>
        <w:tblW w:w="0" w:type="auto"/>
        <w:tblLook w:val="04A0" w:firstRow="1" w:lastRow="0" w:firstColumn="1" w:lastColumn="0" w:noHBand="0" w:noVBand="1"/>
      </w:tblPr>
      <w:tblGrid>
        <w:gridCol w:w="3207"/>
        <w:gridCol w:w="3724"/>
        <w:gridCol w:w="3257"/>
      </w:tblGrid>
      <w:tr w:rsidR="00266F74" w:rsidTr="00144127">
        <w:tc>
          <w:tcPr>
            <w:tcW w:w="3233" w:type="dxa"/>
          </w:tcPr>
          <w:p w:rsidR="00266F74" w:rsidRDefault="00266F74" w:rsidP="00C5090C">
            <w:pPr>
              <w:spacing w:after="0" w:line="240" w:lineRule="auto"/>
              <w:jc w:val="both"/>
              <w:rPr>
                <w:lang w:val="es-MX"/>
              </w:rPr>
            </w:pPr>
          </w:p>
        </w:tc>
        <w:tc>
          <w:tcPr>
            <w:tcW w:w="3663" w:type="dxa"/>
          </w:tcPr>
          <w:p w:rsidR="00266F74" w:rsidRDefault="00266F74" w:rsidP="00D06CC3">
            <w:pPr>
              <w:spacing w:after="0" w:line="240" w:lineRule="auto"/>
              <w:jc w:val="center"/>
              <w:rPr>
                <w:lang w:val="es-MX"/>
              </w:rPr>
            </w:pPr>
            <w:r w:rsidRPr="00BC2BAC">
              <w:rPr>
                <w:b/>
                <w:lang w:val="es-MX"/>
              </w:rPr>
              <w:t>METODO 1</w:t>
            </w:r>
          </w:p>
        </w:tc>
        <w:tc>
          <w:tcPr>
            <w:tcW w:w="3292" w:type="dxa"/>
          </w:tcPr>
          <w:p w:rsidR="00266F74" w:rsidRDefault="00266F74" w:rsidP="00D06CC3">
            <w:pPr>
              <w:spacing w:after="0" w:line="240" w:lineRule="auto"/>
              <w:jc w:val="center"/>
              <w:rPr>
                <w:lang w:val="es-MX"/>
              </w:rPr>
            </w:pPr>
            <w:r w:rsidRPr="00BC2BAC">
              <w:rPr>
                <w:b/>
                <w:lang w:val="es-MX"/>
              </w:rPr>
              <w:t>METODO 2</w:t>
            </w:r>
          </w:p>
        </w:tc>
      </w:tr>
      <w:tr w:rsidR="00266F74" w:rsidTr="00144127">
        <w:tc>
          <w:tcPr>
            <w:tcW w:w="3233" w:type="dxa"/>
          </w:tcPr>
          <w:p w:rsidR="00AB691A" w:rsidRDefault="00AB691A" w:rsidP="00C5090C">
            <w:pPr>
              <w:spacing w:after="0" w:line="240" w:lineRule="auto"/>
              <w:jc w:val="both"/>
              <w:rPr>
                <w:b/>
                <w:lang w:val="es-MX"/>
              </w:rPr>
            </w:pPr>
          </w:p>
          <w:p w:rsidR="00AB691A" w:rsidRDefault="00AB691A" w:rsidP="00C5090C">
            <w:pPr>
              <w:spacing w:after="0" w:line="240" w:lineRule="auto"/>
              <w:jc w:val="both"/>
              <w:rPr>
                <w:b/>
                <w:lang w:val="es-MX"/>
              </w:rPr>
            </w:pPr>
          </w:p>
          <w:p w:rsidR="00AB691A" w:rsidRDefault="00AB691A" w:rsidP="00C5090C">
            <w:pPr>
              <w:spacing w:after="0" w:line="240" w:lineRule="auto"/>
              <w:jc w:val="both"/>
              <w:rPr>
                <w:b/>
                <w:lang w:val="es-MX"/>
              </w:rPr>
            </w:pPr>
          </w:p>
          <w:p w:rsidR="00AB691A" w:rsidRDefault="00AB691A" w:rsidP="00C5090C">
            <w:pPr>
              <w:spacing w:after="0" w:line="240" w:lineRule="auto"/>
              <w:jc w:val="both"/>
              <w:rPr>
                <w:b/>
                <w:lang w:val="es-MX"/>
              </w:rPr>
            </w:pPr>
          </w:p>
          <w:p w:rsidR="00AB691A" w:rsidRDefault="00AB691A" w:rsidP="00C5090C">
            <w:pPr>
              <w:spacing w:after="0" w:line="240" w:lineRule="auto"/>
              <w:jc w:val="both"/>
              <w:rPr>
                <w:b/>
                <w:lang w:val="es-MX"/>
              </w:rPr>
            </w:pPr>
          </w:p>
          <w:p w:rsidR="00AB691A" w:rsidRDefault="00AB691A" w:rsidP="00C5090C">
            <w:pPr>
              <w:spacing w:after="0" w:line="240" w:lineRule="auto"/>
              <w:jc w:val="both"/>
              <w:rPr>
                <w:b/>
                <w:lang w:val="es-MX"/>
              </w:rPr>
            </w:pPr>
          </w:p>
          <w:p w:rsidR="00AB691A" w:rsidRDefault="00AB691A" w:rsidP="00C5090C">
            <w:pPr>
              <w:spacing w:after="0" w:line="240" w:lineRule="auto"/>
              <w:jc w:val="both"/>
              <w:rPr>
                <w:b/>
                <w:lang w:val="es-MX"/>
              </w:rPr>
            </w:pPr>
          </w:p>
          <w:p w:rsidR="00AB691A" w:rsidRDefault="00AB691A" w:rsidP="00C5090C">
            <w:pPr>
              <w:spacing w:after="0" w:line="240" w:lineRule="auto"/>
              <w:jc w:val="both"/>
              <w:rPr>
                <w:b/>
                <w:lang w:val="es-MX"/>
              </w:rPr>
            </w:pPr>
          </w:p>
          <w:p w:rsidR="00266F74" w:rsidRPr="00D06CC3" w:rsidRDefault="00266F74" w:rsidP="00C5090C">
            <w:pPr>
              <w:spacing w:after="0" w:line="240" w:lineRule="auto"/>
              <w:jc w:val="both"/>
              <w:rPr>
                <w:b/>
                <w:lang w:val="es-MX"/>
              </w:rPr>
            </w:pPr>
            <w:r w:rsidRPr="00D06CC3">
              <w:rPr>
                <w:b/>
                <w:lang w:val="es-MX"/>
              </w:rPr>
              <w:t>INFORMACION BASE</w:t>
            </w:r>
          </w:p>
        </w:tc>
        <w:tc>
          <w:tcPr>
            <w:tcW w:w="3663" w:type="dxa"/>
          </w:tcPr>
          <w:p w:rsidR="00AB691A" w:rsidRDefault="000866AD" w:rsidP="00C5090C">
            <w:pPr>
              <w:spacing w:after="0" w:line="240" w:lineRule="auto"/>
              <w:jc w:val="both"/>
              <w:rPr>
                <w:lang w:val="es-MX"/>
              </w:rPr>
            </w:pPr>
            <w:r>
              <w:rPr>
                <w:lang w:val="es-MX"/>
              </w:rPr>
              <w:t xml:space="preserve">Variación Porcentual Mensual IPC entre Feb 2011 y Ene 2011: </w:t>
            </w:r>
          </w:p>
          <w:tbl>
            <w:tblPr>
              <w:tblW w:w="2400" w:type="dxa"/>
              <w:tblCellMar>
                <w:left w:w="70" w:type="dxa"/>
                <w:right w:w="70" w:type="dxa"/>
              </w:tblCellMar>
              <w:tblLook w:val="04A0" w:firstRow="1" w:lastRow="0" w:firstColumn="1" w:lastColumn="0" w:noHBand="0" w:noVBand="1"/>
            </w:tblPr>
            <w:tblGrid>
              <w:gridCol w:w="1200"/>
              <w:gridCol w:w="1200"/>
            </w:tblGrid>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t>Febrero</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0,6027%</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t>Marzo</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0,2715%</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t>Abril</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0,1214%</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t>Mayo</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0,2797%</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t>Junio</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0,3254%</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t>Julio</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0,1390%</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t>Agosto</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-0,0370%</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t>Septiembre</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0,3148%</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lastRenderedPageBreak/>
                    <w:t>Octubre</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0,1846%</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t>Noviembre</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0,1382%</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rPr>
                      <w:rFonts w:asciiTheme="minorHAnsi" w:eastAsia="Times New Roman" w:hAnsiTheme="minorHAnsi" w:cstheme="minorHAnsi"/>
                      <w:sz w:val="20"/>
                      <w:szCs w:val="20"/>
                      <w:lang w:val="es-CO" w:eastAsia="es-CO"/>
                    </w:rPr>
                  </w:pPr>
                  <w:r w:rsidRPr="00D06CC3">
                    <w:rPr>
                      <w:rFonts w:asciiTheme="minorHAnsi" w:eastAsia="Times New Roman" w:hAnsiTheme="minorHAnsi" w:cstheme="minorHAnsi"/>
                      <w:sz w:val="20"/>
                      <w:szCs w:val="20"/>
                      <w:lang w:val="es-CO" w:eastAsia="es-CO"/>
                    </w:rPr>
                    <w:t>Diciembre</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0,4232%</w:t>
                  </w:r>
                </w:p>
              </w:tc>
            </w:tr>
            <w:tr w:rsidR="00AB691A" w:rsidRPr="00AB691A" w:rsidTr="00AB691A">
              <w:trPr>
                <w:trHeight w:val="300"/>
              </w:trPr>
              <w:tc>
                <w:tcPr>
                  <w:tcW w:w="1200" w:type="dxa"/>
                  <w:tcBorders>
                    <w:top w:val="nil"/>
                    <w:left w:val="nil"/>
                    <w:bottom w:val="nil"/>
                    <w:right w:val="nil"/>
                  </w:tcBorders>
                  <w:shd w:val="clear" w:color="000000" w:fill="FFFFFF"/>
                  <w:noWrap/>
                  <w:vAlign w:val="bottom"/>
                  <w:hideMark/>
                </w:tcPr>
                <w:p w:rsidR="00AB691A" w:rsidRPr="00D06CC3" w:rsidRDefault="00BF588A" w:rsidP="00AB691A">
                  <w:pPr>
                    <w:suppressAutoHyphens w:val="0"/>
                    <w:spacing w:after="0" w:line="240" w:lineRule="auto"/>
                    <w:rPr>
                      <w:rFonts w:asciiTheme="minorHAnsi" w:eastAsia="Times New Roman" w:hAnsiTheme="minorHAnsi" w:cstheme="minorHAnsi"/>
                      <w:sz w:val="20"/>
                      <w:szCs w:val="20"/>
                      <w:lang w:val="es-CO" w:eastAsia="es-CO"/>
                    </w:rPr>
                  </w:pPr>
                  <w:r>
                    <w:rPr>
                      <w:rFonts w:asciiTheme="minorHAnsi" w:eastAsia="Times New Roman" w:hAnsiTheme="minorHAnsi" w:cstheme="minorHAnsi"/>
                      <w:sz w:val="20"/>
                      <w:szCs w:val="20"/>
                      <w:lang w:val="es-CO" w:eastAsia="es-CO"/>
                    </w:rPr>
                    <w:t>E</w:t>
                  </w:r>
                  <w:r w:rsidR="00AB691A" w:rsidRPr="00D06CC3">
                    <w:rPr>
                      <w:rFonts w:asciiTheme="minorHAnsi" w:eastAsia="Times New Roman" w:hAnsiTheme="minorHAnsi" w:cstheme="minorHAnsi"/>
                      <w:sz w:val="20"/>
                      <w:szCs w:val="20"/>
                      <w:lang w:val="es-CO" w:eastAsia="es-CO"/>
                    </w:rPr>
                    <w:t xml:space="preserve">nero </w:t>
                  </w:r>
                  <w:r>
                    <w:rPr>
                      <w:rFonts w:asciiTheme="minorHAnsi" w:eastAsia="Times New Roman" w:hAnsiTheme="minorHAnsi" w:cstheme="minorHAnsi"/>
                      <w:sz w:val="20"/>
                      <w:szCs w:val="20"/>
                      <w:lang w:val="es-CO" w:eastAsia="es-CO"/>
                    </w:rPr>
                    <w:t>2012</w:t>
                  </w:r>
                </w:p>
              </w:tc>
              <w:tc>
                <w:tcPr>
                  <w:tcW w:w="1200" w:type="dxa"/>
                  <w:tcBorders>
                    <w:top w:val="nil"/>
                    <w:left w:val="nil"/>
                    <w:bottom w:val="nil"/>
                    <w:right w:val="nil"/>
                  </w:tcBorders>
                  <w:shd w:val="clear" w:color="000000" w:fill="FFFFFF"/>
                  <w:noWrap/>
                  <w:vAlign w:val="bottom"/>
                  <w:hideMark/>
                </w:tcPr>
                <w:p w:rsidR="00AB691A" w:rsidRPr="00D06CC3" w:rsidRDefault="00AB691A" w:rsidP="00AB691A">
                  <w:pPr>
                    <w:suppressAutoHyphens w:val="0"/>
                    <w:spacing w:after="0" w:line="240" w:lineRule="auto"/>
                    <w:jc w:val="right"/>
                    <w:rPr>
                      <w:rFonts w:asciiTheme="minorHAnsi" w:eastAsia="Times New Roman" w:hAnsiTheme="minorHAnsi" w:cstheme="minorHAnsi"/>
                      <w:color w:val="000000"/>
                      <w:sz w:val="20"/>
                      <w:szCs w:val="20"/>
                      <w:lang w:val="es-CO" w:eastAsia="es-CO"/>
                    </w:rPr>
                  </w:pPr>
                  <w:r w:rsidRPr="00D06CC3">
                    <w:rPr>
                      <w:rFonts w:asciiTheme="minorHAnsi" w:eastAsia="Times New Roman" w:hAnsiTheme="minorHAnsi" w:cstheme="minorHAnsi"/>
                      <w:color w:val="000000"/>
                      <w:sz w:val="20"/>
                      <w:szCs w:val="20"/>
                      <w:lang w:val="es-CO" w:eastAsia="es-CO"/>
                    </w:rPr>
                    <w:t>0,7329%</w:t>
                  </w:r>
                </w:p>
              </w:tc>
            </w:tr>
          </w:tbl>
          <w:p w:rsidR="00AB691A" w:rsidRDefault="00AB691A" w:rsidP="00C5090C">
            <w:pPr>
              <w:spacing w:after="0" w:line="240" w:lineRule="auto"/>
              <w:jc w:val="both"/>
              <w:rPr>
                <w:lang w:val="es-MX"/>
              </w:rPr>
            </w:pPr>
          </w:p>
        </w:tc>
        <w:tc>
          <w:tcPr>
            <w:tcW w:w="3292" w:type="dxa"/>
          </w:tcPr>
          <w:p w:rsidR="00AB691A" w:rsidRDefault="00AB691A" w:rsidP="00266F74">
            <w:pPr>
              <w:spacing w:after="0" w:line="240" w:lineRule="auto"/>
              <w:jc w:val="both"/>
              <w:rPr>
                <w:lang w:val="es-MX"/>
              </w:rPr>
            </w:pPr>
          </w:p>
          <w:p w:rsidR="00AB691A" w:rsidRDefault="00AB691A" w:rsidP="00266F74">
            <w:pPr>
              <w:spacing w:after="0" w:line="240" w:lineRule="auto"/>
              <w:jc w:val="both"/>
              <w:rPr>
                <w:lang w:val="es-MX"/>
              </w:rPr>
            </w:pPr>
          </w:p>
          <w:p w:rsidR="00AB691A" w:rsidRDefault="00AB691A" w:rsidP="00266F74">
            <w:pPr>
              <w:spacing w:after="0" w:line="240" w:lineRule="auto"/>
              <w:jc w:val="both"/>
              <w:rPr>
                <w:lang w:val="es-MX"/>
              </w:rPr>
            </w:pPr>
          </w:p>
          <w:p w:rsidR="00AB691A" w:rsidRDefault="00AB691A" w:rsidP="00266F74">
            <w:pPr>
              <w:spacing w:after="0" w:line="240" w:lineRule="auto"/>
              <w:jc w:val="both"/>
              <w:rPr>
                <w:lang w:val="es-MX"/>
              </w:rPr>
            </w:pPr>
          </w:p>
          <w:p w:rsidR="00AB691A" w:rsidRDefault="00AB691A" w:rsidP="00266F74">
            <w:pPr>
              <w:spacing w:after="0" w:line="240" w:lineRule="auto"/>
              <w:jc w:val="both"/>
              <w:rPr>
                <w:lang w:val="es-MX"/>
              </w:rPr>
            </w:pPr>
          </w:p>
          <w:p w:rsidR="00AB691A" w:rsidRDefault="00AB691A" w:rsidP="00266F74">
            <w:pPr>
              <w:spacing w:after="0" w:line="240" w:lineRule="auto"/>
              <w:jc w:val="both"/>
              <w:rPr>
                <w:lang w:val="es-MX"/>
              </w:rPr>
            </w:pPr>
          </w:p>
          <w:p w:rsidR="00266F74" w:rsidRDefault="00266F74" w:rsidP="00266F74">
            <w:pPr>
              <w:spacing w:after="0" w:line="240" w:lineRule="auto"/>
              <w:jc w:val="both"/>
              <w:rPr>
                <w:lang w:val="es-MX"/>
              </w:rPr>
            </w:pPr>
            <w:r>
              <w:rPr>
                <w:lang w:val="es-MX"/>
              </w:rPr>
              <w:t>Índice IPC Ene 2011:</w:t>
            </w:r>
            <w:r w:rsidRPr="00B92CCA">
              <w:rPr>
                <w:lang w:val="es-MX"/>
              </w:rPr>
              <w:t xml:space="preserve"> 106,19</w:t>
            </w:r>
          </w:p>
          <w:p w:rsidR="00266F74" w:rsidRDefault="00266F74" w:rsidP="00266F74">
            <w:pPr>
              <w:spacing w:after="0" w:line="240" w:lineRule="auto"/>
              <w:jc w:val="both"/>
              <w:rPr>
                <w:lang w:val="es-MX"/>
              </w:rPr>
            </w:pPr>
            <w:r>
              <w:rPr>
                <w:lang w:val="es-MX"/>
              </w:rPr>
              <w:t xml:space="preserve">Índice IPC Ene 2012: </w:t>
            </w:r>
            <w:r w:rsidRPr="00B92CCA">
              <w:rPr>
                <w:lang w:val="es-MX"/>
              </w:rPr>
              <w:t>109,96</w:t>
            </w:r>
          </w:p>
        </w:tc>
      </w:tr>
      <w:tr w:rsidR="00266F74" w:rsidTr="00144127">
        <w:tc>
          <w:tcPr>
            <w:tcW w:w="3233" w:type="dxa"/>
          </w:tcPr>
          <w:p w:rsidR="00123043" w:rsidRDefault="00123043" w:rsidP="00C5090C">
            <w:pPr>
              <w:spacing w:after="0" w:line="240" w:lineRule="auto"/>
              <w:jc w:val="both"/>
              <w:rPr>
                <w:b/>
                <w:lang w:val="es-MX"/>
              </w:rPr>
            </w:pPr>
          </w:p>
          <w:p w:rsidR="00266F74" w:rsidRDefault="00ED3230" w:rsidP="00C5090C">
            <w:pPr>
              <w:spacing w:after="0" w:line="240" w:lineRule="auto"/>
              <w:jc w:val="both"/>
              <w:rPr>
                <w:lang w:val="es-MX"/>
              </w:rPr>
            </w:pPr>
            <w:r>
              <w:rPr>
                <w:b/>
                <w:lang w:val="es-MX"/>
              </w:rPr>
              <w:t>PROCEDIMIENTO</w:t>
            </w:r>
          </w:p>
        </w:tc>
        <w:tc>
          <w:tcPr>
            <w:tcW w:w="3663" w:type="dxa"/>
          </w:tcPr>
          <w:p w:rsidR="00083D75" w:rsidRDefault="00AD4A31" w:rsidP="00083D75">
            <w:pPr>
              <w:spacing w:after="0" w:line="240" w:lineRule="auto"/>
              <w:jc w:val="both"/>
              <w:rPr>
                <w:sz w:val="20"/>
                <w:szCs w:val="20"/>
                <w:lang w:val="es-MX"/>
              </w:rPr>
            </w:pPr>
            <w:r>
              <w:rPr>
                <w:sz w:val="20"/>
                <w:szCs w:val="20"/>
                <w:lang w:val="es-MX"/>
              </w:rPr>
              <w:t>[</w:t>
            </w:r>
            <w:r w:rsidR="00AB691A" w:rsidRPr="00D06CC3">
              <w:rPr>
                <w:sz w:val="20"/>
                <w:szCs w:val="20"/>
                <w:lang w:val="es-MX"/>
              </w:rPr>
              <w:t>(1+0.</w:t>
            </w:r>
            <w:r w:rsidR="00083D75">
              <w:rPr>
                <w:sz w:val="20"/>
                <w:szCs w:val="20"/>
                <w:lang w:val="es-MX"/>
              </w:rPr>
              <w:t>00</w:t>
            </w:r>
            <w:r w:rsidR="00AB691A" w:rsidRPr="00D06CC3">
              <w:rPr>
                <w:sz w:val="20"/>
                <w:szCs w:val="20"/>
                <w:lang w:val="es-MX"/>
              </w:rPr>
              <w:t>6027)*(1+0.</w:t>
            </w:r>
            <w:r w:rsidR="00083D75">
              <w:rPr>
                <w:sz w:val="20"/>
                <w:szCs w:val="20"/>
                <w:lang w:val="es-MX"/>
              </w:rPr>
              <w:t>00</w:t>
            </w:r>
            <w:r w:rsidR="00AB691A" w:rsidRPr="00D06CC3">
              <w:rPr>
                <w:sz w:val="20"/>
                <w:szCs w:val="20"/>
                <w:lang w:val="es-MX"/>
              </w:rPr>
              <w:t>2715)*(1+0.</w:t>
            </w:r>
            <w:r w:rsidR="00083D75">
              <w:rPr>
                <w:sz w:val="20"/>
                <w:szCs w:val="20"/>
                <w:lang w:val="es-MX"/>
              </w:rPr>
              <w:t>00</w:t>
            </w:r>
            <w:r w:rsidR="00AB691A" w:rsidRPr="00D06CC3">
              <w:rPr>
                <w:sz w:val="20"/>
                <w:szCs w:val="20"/>
                <w:lang w:val="es-MX"/>
              </w:rPr>
              <w:t>1214)</w:t>
            </w:r>
          </w:p>
          <w:p w:rsidR="00AB691A" w:rsidRPr="00083D75" w:rsidRDefault="00083D75" w:rsidP="00083D75">
            <w:pPr>
              <w:spacing w:after="0" w:line="240" w:lineRule="auto"/>
              <w:rPr>
                <w:sz w:val="20"/>
                <w:lang w:val="es-MX"/>
              </w:rPr>
            </w:pPr>
            <w:r>
              <w:rPr>
                <w:sz w:val="20"/>
                <w:lang w:val="es-MX"/>
              </w:rPr>
              <w:t xml:space="preserve">* </w:t>
            </w:r>
            <w:r w:rsidRPr="00083D75">
              <w:rPr>
                <w:sz w:val="20"/>
                <w:lang w:val="es-MX"/>
              </w:rPr>
              <w:t xml:space="preserve">(…) </w:t>
            </w:r>
            <w:r w:rsidR="00AB691A" w:rsidRPr="00083D75">
              <w:rPr>
                <w:sz w:val="20"/>
                <w:lang w:val="es-MX"/>
              </w:rPr>
              <w:t>*(1+0.</w:t>
            </w:r>
            <w:r w:rsidRPr="00083D75">
              <w:rPr>
                <w:sz w:val="20"/>
                <w:lang w:val="es-MX"/>
              </w:rPr>
              <w:t>00</w:t>
            </w:r>
            <w:r w:rsidR="00AB691A" w:rsidRPr="00083D75">
              <w:rPr>
                <w:sz w:val="20"/>
                <w:lang w:val="es-MX"/>
              </w:rPr>
              <w:t>1382)*(1+0.</w:t>
            </w:r>
            <w:r>
              <w:rPr>
                <w:sz w:val="20"/>
                <w:lang w:val="es-MX"/>
              </w:rPr>
              <w:t>00</w:t>
            </w:r>
            <w:r w:rsidR="00AB691A" w:rsidRPr="00083D75">
              <w:rPr>
                <w:sz w:val="20"/>
                <w:lang w:val="es-MX"/>
              </w:rPr>
              <w:t>4232)</w:t>
            </w:r>
          </w:p>
          <w:p w:rsidR="00AB691A" w:rsidRDefault="00AB691A" w:rsidP="00C5090C">
            <w:pPr>
              <w:spacing w:after="0" w:line="240" w:lineRule="auto"/>
              <w:jc w:val="both"/>
              <w:rPr>
                <w:lang w:val="es-MX"/>
              </w:rPr>
            </w:pPr>
            <w:r>
              <w:rPr>
                <w:sz w:val="20"/>
                <w:szCs w:val="20"/>
                <w:lang w:val="es-MX"/>
              </w:rPr>
              <w:t xml:space="preserve"> </w:t>
            </w:r>
            <w:r w:rsidR="00083D75">
              <w:rPr>
                <w:sz w:val="20"/>
                <w:szCs w:val="20"/>
                <w:lang w:val="es-MX"/>
              </w:rPr>
              <w:t>*(1+0.007329)</w:t>
            </w:r>
            <w:r w:rsidR="005A4382">
              <w:rPr>
                <w:sz w:val="20"/>
                <w:szCs w:val="20"/>
                <w:lang w:val="es-MX"/>
              </w:rPr>
              <w:t xml:space="preserve">] </w:t>
            </w:r>
            <w:r w:rsidR="00083D75">
              <w:rPr>
                <w:sz w:val="20"/>
                <w:szCs w:val="20"/>
                <w:lang w:val="es-MX"/>
              </w:rPr>
              <w:t xml:space="preserve">= </w:t>
            </w:r>
            <w:r w:rsidRPr="00B92CCA">
              <w:rPr>
                <w:lang w:val="es-MX"/>
              </w:rPr>
              <w:t>1,035502</w:t>
            </w:r>
          </w:p>
        </w:tc>
        <w:tc>
          <w:tcPr>
            <w:tcW w:w="3292" w:type="dxa"/>
          </w:tcPr>
          <w:p w:rsidR="00266F74" w:rsidRDefault="00266F74" w:rsidP="00C5090C">
            <w:pPr>
              <w:spacing w:after="0" w:line="240" w:lineRule="auto"/>
              <w:jc w:val="both"/>
              <w:rPr>
                <w:lang w:val="es-MX"/>
              </w:rPr>
            </w:pPr>
          </w:p>
          <w:p w:rsidR="000866AD" w:rsidRPr="00677C4B" w:rsidRDefault="00C078B1" w:rsidP="00C5090C">
            <w:pPr>
              <w:spacing w:after="0" w:line="240" w:lineRule="auto"/>
              <w:jc w:val="both"/>
              <w:rPr>
                <w:lang w:val="es-MX"/>
              </w:rPr>
            </w:pPr>
            <m:oMathPara>
              <m:oMath>
                <m:f>
                  <m:fPr>
                    <m:ctrlPr>
                      <w:rPr>
                        <w:rFonts w:ascii="Cambria Math" w:hAnsi="Cambria Math"/>
                        <w:lang w:val="es-MX"/>
                      </w:rPr>
                    </m:ctrlPr>
                  </m:fPr>
                  <m:num>
                    <m:r>
                      <m:rPr>
                        <m:sty m:val="p"/>
                      </m:rPr>
                      <w:rPr>
                        <w:rFonts w:ascii="Cambria Math" w:hAnsi="Cambria Math"/>
                        <w:lang w:val="es-MX"/>
                      </w:rPr>
                      <m:t>109.96</m:t>
                    </m:r>
                  </m:num>
                  <m:den>
                    <m:r>
                      <m:rPr>
                        <m:sty m:val="p"/>
                      </m:rPr>
                      <w:rPr>
                        <w:rFonts w:ascii="Cambria Math" w:hAnsi="Cambria Math"/>
                        <w:lang w:val="es-MX"/>
                      </w:rPr>
                      <m:t>106.19</m:t>
                    </m:r>
                  </m:den>
                </m:f>
                <m:r>
                  <m:rPr>
                    <m:sty m:val="p"/>
                  </m:rPr>
                  <w:rPr>
                    <w:rFonts w:ascii="Cambria Math" w:hAnsi="Cambria Math"/>
                    <w:lang w:val="es-MX"/>
                  </w:rPr>
                  <m:t>=1.035502</m:t>
                </m:r>
              </m:oMath>
            </m:oMathPara>
          </w:p>
          <w:p w:rsidR="000866AD" w:rsidRDefault="000866AD" w:rsidP="00C5090C">
            <w:pPr>
              <w:spacing w:after="0" w:line="240" w:lineRule="auto"/>
              <w:jc w:val="both"/>
              <w:rPr>
                <w:lang w:val="es-MX"/>
              </w:rPr>
            </w:pPr>
          </w:p>
        </w:tc>
      </w:tr>
      <w:tr w:rsidR="00266F74" w:rsidTr="00144127">
        <w:tc>
          <w:tcPr>
            <w:tcW w:w="3233" w:type="dxa"/>
          </w:tcPr>
          <w:p w:rsidR="00266F74" w:rsidRDefault="00266F74" w:rsidP="00C5090C">
            <w:pPr>
              <w:spacing w:after="0" w:line="240" w:lineRule="auto"/>
              <w:jc w:val="both"/>
              <w:rPr>
                <w:lang w:val="es-MX"/>
              </w:rPr>
            </w:pPr>
            <w:r w:rsidRPr="00BC2BAC">
              <w:rPr>
                <w:b/>
                <w:lang w:val="es-MX"/>
              </w:rPr>
              <w:t>FACTOR ACTUALIZACION IPC</w:t>
            </w:r>
          </w:p>
        </w:tc>
        <w:tc>
          <w:tcPr>
            <w:tcW w:w="3663" w:type="dxa"/>
          </w:tcPr>
          <w:p w:rsidR="00266F74" w:rsidRDefault="000866AD" w:rsidP="00C5090C">
            <w:pPr>
              <w:spacing w:after="0" w:line="240" w:lineRule="auto"/>
              <w:jc w:val="both"/>
              <w:rPr>
                <w:lang w:val="es-MX"/>
              </w:rPr>
            </w:pPr>
            <w:r w:rsidRPr="00B92CCA">
              <w:rPr>
                <w:lang w:val="es-MX"/>
              </w:rPr>
              <w:t>1,035502</w:t>
            </w:r>
          </w:p>
        </w:tc>
        <w:tc>
          <w:tcPr>
            <w:tcW w:w="3292" w:type="dxa"/>
          </w:tcPr>
          <w:p w:rsidR="00266F74" w:rsidRDefault="000866AD" w:rsidP="00C5090C">
            <w:pPr>
              <w:spacing w:after="0" w:line="240" w:lineRule="auto"/>
              <w:jc w:val="both"/>
              <w:rPr>
                <w:lang w:val="es-MX"/>
              </w:rPr>
            </w:pPr>
            <w:r w:rsidRPr="00B92CCA">
              <w:rPr>
                <w:lang w:val="es-MX"/>
              </w:rPr>
              <w:t>1,035502</w:t>
            </w:r>
          </w:p>
        </w:tc>
      </w:tr>
      <w:tr w:rsidR="00266F74" w:rsidTr="00144127">
        <w:tc>
          <w:tcPr>
            <w:tcW w:w="3233" w:type="dxa"/>
          </w:tcPr>
          <w:p w:rsidR="00266F74" w:rsidRDefault="00266F74" w:rsidP="00C5090C">
            <w:pPr>
              <w:spacing w:after="0" w:line="240" w:lineRule="auto"/>
              <w:jc w:val="both"/>
              <w:rPr>
                <w:lang w:val="es-MX"/>
              </w:rPr>
            </w:pPr>
            <w:r w:rsidRPr="00BC2BAC">
              <w:rPr>
                <w:b/>
                <w:lang w:val="es-MX"/>
              </w:rPr>
              <w:t>ACTUALIZACION TARIFA (CARGO FIJO $8,000)</w:t>
            </w:r>
          </w:p>
        </w:tc>
        <w:tc>
          <w:tcPr>
            <w:tcW w:w="3663" w:type="dxa"/>
          </w:tcPr>
          <w:p w:rsidR="00266F74" w:rsidRDefault="00266F74" w:rsidP="00C5090C">
            <w:pPr>
              <w:spacing w:after="0" w:line="240" w:lineRule="auto"/>
              <w:jc w:val="both"/>
              <w:rPr>
                <w:lang w:val="es-MX"/>
              </w:rPr>
            </w:pPr>
          </w:p>
          <w:p w:rsidR="000866AD" w:rsidRDefault="000866AD" w:rsidP="00C5090C">
            <w:pPr>
              <w:spacing w:after="0" w:line="240" w:lineRule="auto"/>
              <w:jc w:val="both"/>
              <w:rPr>
                <w:lang w:val="es-MX"/>
              </w:rPr>
            </w:pPr>
            <w:r w:rsidRPr="00B92CCA">
              <w:rPr>
                <w:lang w:val="es-MX"/>
              </w:rPr>
              <w:t>8.000 x 1.</w:t>
            </w:r>
            <w:r w:rsidR="0055415C">
              <w:rPr>
                <w:lang w:val="es-MX"/>
              </w:rPr>
              <w:t>0</w:t>
            </w:r>
            <w:r w:rsidRPr="00B92CCA">
              <w:rPr>
                <w:lang w:val="es-MX"/>
              </w:rPr>
              <w:t xml:space="preserve">35502  = 8,284.02  </w:t>
            </w:r>
          </w:p>
        </w:tc>
        <w:tc>
          <w:tcPr>
            <w:tcW w:w="3292" w:type="dxa"/>
          </w:tcPr>
          <w:p w:rsidR="00266F74" w:rsidRDefault="00266F74" w:rsidP="00C5090C">
            <w:pPr>
              <w:spacing w:after="0" w:line="240" w:lineRule="auto"/>
              <w:jc w:val="both"/>
              <w:rPr>
                <w:lang w:val="es-MX"/>
              </w:rPr>
            </w:pPr>
          </w:p>
          <w:p w:rsidR="000866AD" w:rsidRDefault="000866AD" w:rsidP="00C5090C">
            <w:pPr>
              <w:spacing w:after="0" w:line="240" w:lineRule="auto"/>
              <w:jc w:val="both"/>
              <w:rPr>
                <w:lang w:val="es-MX"/>
              </w:rPr>
            </w:pPr>
            <w:r w:rsidRPr="00B92CCA">
              <w:rPr>
                <w:lang w:val="es-MX"/>
              </w:rPr>
              <w:t>8.000 x 1.</w:t>
            </w:r>
            <w:r w:rsidR="0055415C">
              <w:rPr>
                <w:lang w:val="es-MX"/>
              </w:rPr>
              <w:t>0</w:t>
            </w:r>
            <w:r w:rsidRPr="00B92CCA">
              <w:rPr>
                <w:lang w:val="es-MX"/>
              </w:rPr>
              <w:t xml:space="preserve">35502 = 8,284.02  </w:t>
            </w:r>
          </w:p>
        </w:tc>
      </w:tr>
    </w:tbl>
    <w:p w:rsidR="00DC323E" w:rsidRDefault="00DC323E" w:rsidP="00C5090C">
      <w:pPr>
        <w:spacing w:after="0" w:line="240" w:lineRule="auto"/>
        <w:jc w:val="both"/>
        <w:rPr>
          <w:lang w:val="es-MX"/>
        </w:rPr>
      </w:pPr>
    </w:p>
    <w:p w:rsidR="00FB2C1D" w:rsidRDefault="00C5090C" w:rsidP="00C5090C">
      <w:pPr>
        <w:spacing w:after="0" w:line="240" w:lineRule="auto"/>
        <w:jc w:val="both"/>
        <w:rPr>
          <w:lang w:val="es-MX"/>
        </w:rPr>
      </w:pPr>
      <w:r w:rsidRPr="00B92CCA">
        <w:rPr>
          <w:lang w:val="es-MX"/>
        </w:rPr>
        <w:t xml:space="preserve">Mediante el primer método se </w:t>
      </w:r>
      <w:r w:rsidR="00067057">
        <w:rPr>
          <w:lang w:val="es-MX"/>
        </w:rPr>
        <w:t xml:space="preserve">estima el factor </w:t>
      </w:r>
      <w:proofErr w:type="spellStart"/>
      <w:r w:rsidR="00067057">
        <w:rPr>
          <w:lang w:val="es-MX"/>
        </w:rPr>
        <w:t>FAipc</w:t>
      </w:r>
      <w:proofErr w:type="spellEnd"/>
      <w:r w:rsidR="00067057">
        <w:rPr>
          <w:lang w:val="es-MX"/>
        </w:rPr>
        <w:t xml:space="preserve"> </w:t>
      </w:r>
      <w:r w:rsidRPr="00B92CCA">
        <w:rPr>
          <w:lang w:val="es-MX"/>
        </w:rPr>
        <w:t xml:space="preserve">utilizando </w:t>
      </w:r>
      <w:r w:rsidR="00067057">
        <w:rPr>
          <w:lang w:val="es-MX"/>
        </w:rPr>
        <w:t>las variaciones porcentuales mensuales de dicho índice</w:t>
      </w:r>
      <w:r w:rsidR="009575E8">
        <w:rPr>
          <w:rStyle w:val="Refdenotaalpie"/>
          <w:lang w:val="es-MX"/>
        </w:rPr>
        <w:footnoteReference w:id="2"/>
      </w:r>
      <w:r w:rsidR="00FB2C1D">
        <w:rPr>
          <w:lang w:val="es-MX"/>
        </w:rPr>
        <w:t>;</w:t>
      </w:r>
      <w:r w:rsidRPr="00B92CCA">
        <w:rPr>
          <w:lang w:val="es-MX"/>
        </w:rPr>
        <w:t xml:space="preserve"> </w:t>
      </w:r>
      <w:r w:rsidR="00FB2C1D">
        <w:rPr>
          <w:lang w:val="es-MX"/>
        </w:rPr>
        <w:t>c</w:t>
      </w:r>
      <w:r w:rsidR="00FC7614">
        <w:rPr>
          <w:lang w:val="es-MX"/>
        </w:rPr>
        <w:t>omo primer paso</w:t>
      </w:r>
      <w:r w:rsidR="00D456CE">
        <w:rPr>
          <w:lang w:val="es-MX"/>
        </w:rPr>
        <w:t xml:space="preserve"> s</w:t>
      </w:r>
      <w:r w:rsidR="00FC7614">
        <w:rPr>
          <w:lang w:val="es-MX"/>
        </w:rPr>
        <w:t xml:space="preserve">e suma </w:t>
      </w:r>
      <w:r w:rsidR="00D456CE">
        <w:rPr>
          <w:lang w:val="es-MX"/>
        </w:rPr>
        <w:t xml:space="preserve">uno (1) </w:t>
      </w:r>
      <w:r w:rsidR="00FC7614">
        <w:rPr>
          <w:lang w:val="es-MX"/>
        </w:rPr>
        <w:t>a cada</w:t>
      </w:r>
      <w:r w:rsidRPr="00B92CCA">
        <w:rPr>
          <w:lang w:val="es-MX"/>
        </w:rPr>
        <w:t xml:space="preserve"> </w:t>
      </w:r>
      <w:r w:rsidR="00FC7614">
        <w:rPr>
          <w:lang w:val="es-MX"/>
        </w:rPr>
        <w:t>variación</w:t>
      </w:r>
      <w:r w:rsidR="00067057">
        <w:rPr>
          <w:lang w:val="es-MX"/>
        </w:rPr>
        <w:t xml:space="preserve"> porcentual</w:t>
      </w:r>
      <w:r w:rsidR="00D456CE">
        <w:rPr>
          <w:lang w:val="es-MX"/>
        </w:rPr>
        <w:t xml:space="preserve"> </w:t>
      </w:r>
      <w:r w:rsidR="00906F7F">
        <w:rPr>
          <w:lang w:val="es-MX"/>
        </w:rPr>
        <w:t xml:space="preserve">expresada como decimal </w:t>
      </w:r>
      <w:r w:rsidR="00D456CE">
        <w:rPr>
          <w:lang w:val="es-MX"/>
        </w:rPr>
        <w:t>- ajustándolas así</w:t>
      </w:r>
      <w:r w:rsidRPr="00B92CCA">
        <w:rPr>
          <w:lang w:val="es-MX"/>
        </w:rPr>
        <w:t xml:space="preserve"> a un formato en que se</w:t>
      </w:r>
      <w:r w:rsidR="00D456CE">
        <w:rPr>
          <w:lang w:val="es-MX"/>
        </w:rPr>
        <w:t xml:space="preserve"> </w:t>
      </w:r>
      <w:r w:rsidRPr="00B92CCA">
        <w:rPr>
          <w:lang w:val="es-MX"/>
        </w:rPr>
        <w:t>pueda</w:t>
      </w:r>
      <w:r w:rsidR="00FC7614">
        <w:rPr>
          <w:lang w:val="es-MX"/>
        </w:rPr>
        <w:t xml:space="preserve"> estimar la variación porcentual acumulada </w:t>
      </w:r>
      <w:r w:rsidR="00D456CE">
        <w:rPr>
          <w:lang w:val="es-MX"/>
        </w:rPr>
        <w:t xml:space="preserve">- </w:t>
      </w:r>
      <w:r w:rsidRPr="00B92CCA">
        <w:rPr>
          <w:lang w:val="es-MX"/>
        </w:rPr>
        <w:t xml:space="preserve">y </w:t>
      </w:r>
      <w:r w:rsidR="00D456CE">
        <w:rPr>
          <w:lang w:val="es-MX"/>
        </w:rPr>
        <w:t>posteriormente</w:t>
      </w:r>
      <w:r w:rsidR="00FB2C1D">
        <w:rPr>
          <w:lang w:val="es-MX"/>
        </w:rPr>
        <w:t>,</w:t>
      </w:r>
      <w:r w:rsidR="00D456CE" w:rsidRPr="00B92CCA">
        <w:rPr>
          <w:lang w:val="es-MX"/>
        </w:rPr>
        <w:t xml:space="preserve"> </w:t>
      </w:r>
      <w:r>
        <w:rPr>
          <w:lang w:val="es-MX"/>
        </w:rPr>
        <w:t>s</w:t>
      </w:r>
      <w:r w:rsidRPr="00B92CCA">
        <w:rPr>
          <w:lang w:val="es-MX"/>
        </w:rPr>
        <w:t>e multiplica</w:t>
      </w:r>
      <w:r w:rsidR="00FC7614">
        <w:rPr>
          <w:lang w:val="es-MX"/>
        </w:rPr>
        <w:t>n</w:t>
      </w:r>
      <w:r w:rsidRPr="00B92CCA">
        <w:rPr>
          <w:lang w:val="es-MX"/>
        </w:rPr>
        <w:t xml:space="preserve"> </w:t>
      </w:r>
      <w:r w:rsidR="00FC7614">
        <w:rPr>
          <w:lang w:val="es-MX"/>
        </w:rPr>
        <w:t>los factores mensuales</w:t>
      </w:r>
      <w:r w:rsidR="00FB2C1D">
        <w:rPr>
          <w:lang w:val="es-MX"/>
        </w:rPr>
        <w:t xml:space="preserve"> entre sí</w:t>
      </w:r>
      <w:r w:rsidRPr="00B92CCA">
        <w:rPr>
          <w:lang w:val="es-MX"/>
        </w:rPr>
        <w:t xml:space="preserve">.  </w:t>
      </w:r>
    </w:p>
    <w:p w:rsidR="00FB2C1D" w:rsidRDefault="00FB2C1D" w:rsidP="00C5090C">
      <w:pPr>
        <w:spacing w:after="0" w:line="240" w:lineRule="auto"/>
        <w:jc w:val="both"/>
        <w:rPr>
          <w:lang w:val="es-MX"/>
        </w:rPr>
      </w:pPr>
    </w:p>
    <w:p w:rsidR="00C5090C" w:rsidRPr="00B92CCA" w:rsidRDefault="00C5090C" w:rsidP="00C5090C">
      <w:pPr>
        <w:spacing w:after="0" w:line="240" w:lineRule="auto"/>
        <w:jc w:val="both"/>
        <w:rPr>
          <w:lang w:val="es-MX"/>
        </w:rPr>
      </w:pPr>
      <w:r w:rsidRPr="00B92CCA">
        <w:rPr>
          <w:lang w:val="es-MX"/>
        </w:rPr>
        <w:t xml:space="preserve">Al aplicar el segundo método, se estima el </w:t>
      </w:r>
      <w:r>
        <w:rPr>
          <w:lang w:val="es-MX"/>
        </w:rPr>
        <w:t>cociente</w:t>
      </w:r>
      <w:r w:rsidRPr="00B92CCA">
        <w:rPr>
          <w:lang w:val="es-MX"/>
        </w:rPr>
        <w:t xml:space="preserve"> entre el índice IPC de enero de 2012 y el índice IPC de enero de 2011, cuyo resultado corresponde directamente al factor de actualización de IPC (1 + </w:t>
      </w:r>
      <w:r w:rsidR="008E4333">
        <w:rPr>
          <w:lang w:val="es-MX"/>
        </w:rPr>
        <w:t>Variación Porcentual</w:t>
      </w:r>
      <w:r w:rsidRPr="00B92CCA">
        <w:rPr>
          <w:lang w:val="es-MX"/>
        </w:rPr>
        <w:t xml:space="preserve"> IPC</w:t>
      </w:r>
      <w:r w:rsidR="00DF5C2D">
        <w:rPr>
          <w:rStyle w:val="Refdenotaalpie"/>
          <w:lang w:val="es-MX"/>
        </w:rPr>
        <w:footnoteReference w:id="3"/>
      </w:r>
      <w:r w:rsidRPr="00B92CCA">
        <w:rPr>
          <w:lang w:val="es-MX"/>
        </w:rPr>
        <w:t xml:space="preserve">), para finalmente actualizar la tarifa multiplicándola directamente por el factor mencionado. Como se puede observar, independiente del método que se utilice, se obtiene un factor de actualización igual (1.035502) y una tarifa actualizada igual ($8,284.02). </w:t>
      </w:r>
    </w:p>
    <w:p w:rsidR="00C5090C" w:rsidRDefault="00C5090C" w:rsidP="00C5090C">
      <w:pPr>
        <w:pStyle w:val="Lista2"/>
        <w:spacing w:after="0" w:line="240" w:lineRule="auto"/>
        <w:rPr>
          <w:lang w:val="es-MX"/>
        </w:rPr>
      </w:pPr>
    </w:p>
    <w:p w:rsidR="00C5090C" w:rsidRPr="00B92CCA" w:rsidRDefault="00C5090C" w:rsidP="009A2383">
      <w:pPr>
        <w:pStyle w:val="Lista2"/>
        <w:spacing w:after="0" w:line="240" w:lineRule="auto"/>
        <w:ind w:left="0" w:firstLine="0"/>
        <w:rPr>
          <w:lang w:val="es-MX"/>
        </w:rPr>
      </w:pPr>
      <w:r w:rsidRPr="00B92CCA">
        <w:rPr>
          <w:lang w:val="es-MX"/>
        </w:rPr>
        <w:t xml:space="preserve">Cabe señalar que mediante el segundo método la actualización se realiza solamente en dos pasos, en contraste con el método 1, ya que </w:t>
      </w:r>
      <w:r w:rsidR="00FB2C1D">
        <w:rPr>
          <w:lang w:val="es-MX"/>
        </w:rPr>
        <w:t xml:space="preserve">el </w:t>
      </w:r>
      <w:r w:rsidRPr="00B92CCA">
        <w:rPr>
          <w:lang w:val="es-MX"/>
        </w:rPr>
        <w:t xml:space="preserve">resultado del </w:t>
      </w:r>
      <w:r>
        <w:rPr>
          <w:lang w:val="es-MX"/>
        </w:rPr>
        <w:t>cociente</w:t>
      </w:r>
      <w:r w:rsidRPr="00B92CCA">
        <w:rPr>
          <w:lang w:val="es-MX"/>
        </w:rPr>
        <w:t xml:space="preserve"> entre los índices IPC es igual a la estimación de la variación porcentual </w:t>
      </w:r>
      <w:r w:rsidR="00906F7F">
        <w:rPr>
          <w:lang w:val="es-MX"/>
        </w:rPr>
        <w:t xml:space="preserve">acumulada </w:t>
      </w:r>
      <w:r w:rsidRPr="00B92CCA">
        <w:rPr>
          <w:lang w:val="es-MX"/>
        </w:rPr>
        <w:t>del índice IPC más uno.</w:t>
      </w:r>
      <w:r w:rsidR="00FB2C1D">
        <w:rPr>
          <w:lang w:val="es-MX"/>
        </w:rPr>
        <w:t xml:space="preserve"> </w:t>
      </w:r>
    </w:p>
    <w:p w:rsidR="00C5090C" w:rsidRPr="00B92CCA" w:rsidRDefault="00C5090C" w:rsidP="00C5090C">
      <w:pPr>
        <w:pStyle w:val="Lista2"/>
        <w:spacing w:after="0" w:line="240" w:lineRule="auto"/>
        <w:rPr>
          <w:lang w:val="es-MX"/>
        </w:rPr>
      </w:pPr>
    </w:p>
    <w:p w:rsidR="00C5090C" w:rsidRPr="00B92CCA" w:rsidRDefault="00C5090C" w:rsidP="009A2383">
      <w:pPr>
        <w:pStyle w:val="Lista2"/>
        <w:spacing w:after="0" w:line="240" w:lineRule="auto"/>
        <w:ind w:left="0" w:firstLine="0"/>
        <w:rPr>
          <w:lang w:val="es-MX"/>
        </w:rPr>
      </w:pPr>
      <w:r w:rsidRPr="00B92CCA">
        <w:rPr>
          <w:lang w:val="es-MX"/>
        </w:rPr>
        <w:t>De forma paralela, resulta fundamental recordar que el Índice de Precios al Consumidor (IPC) corresponde a un indicador económico que permite conocer la variación de los precios de una canasta de bienes y servicios representativos del consumo final de los hogares Colombianos en relación con una periodo base. De acuerdo con el DANE,</w:t>
      </w:r>
      <w:r w:rsidRPr="00874933">
        <w:rPr>
          <w:i/>
          <w:lang w:val="es-MX"/>
        </w:rPr>
        <w:t xml:space="preserve"> “Técnicamente, el IPC es un índice de canasta fija, correspondiente a un periodo base en el tiempo, construido sobre una variante de los índices tipo </w:t>
      </w:r>
      <w:proofErr w:type="spellStart"/>
      <w:r w:rsidRPr="00874933">
        <w:rPr>
          <w:i/>
          <w:lang w:val="es-MX"/>
        </w:rPr>
        <w:t>Laspeyres</w:t>
      </w:r>
      <w:proofErr w:type="spellEnd"/>
      <w:r w:rsidRPr="00874933">
        <w:rPr>
          <w:i/>
          <w:lang w:val="es-MX"/>
        </w:rPr>
        <w:t>, que permite un actualización más rápida de la canasta para seguimiento de precios, según evolucione o cambie el gasto de consumo de los hogares de un país”</w:t>
      </w:r>
      <w:r w:rsidRPr="00874933">
        <w:rPr>
          <w:i/>
          <w:vertAlign w:val="superscript"/>
          <w:lang w:val="es-MX"/>
        </w:rPr>
        <w:footnoteReference w:id="4"/>
      </w:r>
      <w:r w:rsidRPr="00874933">
        <w:rPr>
          <w:i/>
          <w:vertAlign w:val="superscript"/>
          <w:lang w:val="es-MX"/>
        </w:rPr>
        <w:t xml:space="preserve"> </w:t>
      </w:r>
      <w:r w:rsidRPr="00B92CCA">
        <w:rPr>
          <w:lang w:val="es-MX"/>
        </w:rPr>
        <w:t>y tiene como objetivos, los siguientes:</w:t>
      </w:r>
    </w:p>
    <w:p w:rsidR="00C5090C" w:rsidRPr="00B92CCA" w:rsidRDefault="00C5090C" w:rsidP="00C5090C">
      <w:pPr>
        <w:pStyle w:val="Lista2"/>
        <w:spacing w:after="0" w:line="240" w:lineRule="auto"/>
        <w:rPr>
          <w:lang w:val="es-MX"/>
        </w:rPr>
      </w:pPr>
    </w:p>
    <w:p w:rsidR="00C5090C" w:rsidRPr="0033120C" w:rsidRDefault="00C5090C" w:rsidP="00C5090C">
      <w:pPr>
        <w:pStyle w:val="Lista2"/>
        <w:numPr>
          <w:ilvl w:val="0"/>
          <w:numId w:val="8"/>
        </w:numPr>
        <w:spacing w:after="0" w:line="240" w:lineRule="auto"/>
        <w:contextualSpacing w:val="0"/>
        <w:rPr>
          <w:i/>
          <w:lang w:val="es-MX"/>
        </w:rPr>
      </w:pPr>
      <w:r w:rsidRPr="0033120C">
        <w:rPr>
          <w:i/>
          <w:lang w:val="es-MX"/>
        </w:rPr>
        <w:t>“Acumular y presentar, a partir de un mes base, la variación promedio mensual de precios de una canasta de bienes y servicios representativa del consumo de los hogares del país, con el fin de guiar estratégicamente la toma de decisiones, tanto de gobierno como de entes privados; al igual que analizar situaciones de tipo económico.</w:t>
      </w:r>
    </w:p>
    <w:p w:rsidR="00C5090C" w:rsidRPr="0033120C" w:rsidRDefault="00C5090C" w:rsidP="00C5090C">
      <w:pPr>
        <w:pStyle w:val="Lista2"/>
        <w:numPr>
          <w:ilvl w:val="0"/>
          <w:numId w:val="8"/>
        </w:numPr>
        <w:spacing w:after="0" w:line="240" w:lineRule="auto"/>
        <w:contextualSpacing w:val="0"/>
        <w:rPr>
          <w:i/>
          <w:lang w:val="es-MX"/>
        </w:rPr>
      </w:pPr>
      <w:r w:rsidRPr="0033120C">
        <w:rPr>
          <w:i/>
          <w:lang w:val="es-MX"/>
        </w:rPr>
        <w:lastRenderedPageBreak/>
        <w:t>Suministrar información estadística que permita realizar procesos de indexación y actualización de flujos monetarios en términos nominales del periodo corriente.</w:t>
      </w:r>
    </w:p>
    <w:p w:rsidR="00C5090C" w:rsidRPr="0033120C" w:rsidRDefault="00C5090C" w:rsidP="00C5090C">
      <w:pPr>
        <w:pStyle w:val="Lista2"/>
        <w:numPr>
          <w:ilvl w:val="0"/>
          <w:numId w:val="8"/>
        </w:numPr>
        <w:spacing w:after="0" w:line="240" w:lineRule="auto"/>
        <w:contextualSpacing w:val="0"/>
        <w:rPr>
          <w:i/>
          <w:lang w:val="es-MX"/>
        </w:rPr>
      </w:pPr>
      <w:r w:rsidRPr="0033120C">
        <w:rPr>
          <w:i/>
          <w:lang w:val="es-MX"/>
        </w:rPr>
        <w:t xml:space="preserve">Suministrar información que permita realizar procesos de </w:t>
      </w:r>
      <w:proofErr w:type="spellStart"/>
      <w:r w:rsidRPr="0033120C">
        <w:rPr>
          <w:i/>
          <w:lang w:val="es-MX"/>
        </w:rPr>
        <w:t>deflactación</w:t>
      </w:r>
      <w:proofErr w:type="spellEnd"/>
      <w:r w:rsidRPr="0033120C">
        <w:rPr>
          <w:i/>
          <w:lang w:val="es-MX"/>
        </w:rPr>
        <w:t xml:space="preserve"> de valores nominales, encontrando la evolución real de un rubro económico, convirtiendo los valores nominales o corrientes de una serie a valores monetarios de igual poder adquisitivo  o valor real.</w:t>
      </w:r>
    </w:p>
    <w:p w:rsidR="00C5090C" w:rsidRPr="00B92CCA" w:rsidRDefault="00C5090C" w:rsidP="00C5090C">
      <w:pPr>
        <w:pStyle w:val="Lista2"/>
        <w:numPr>
          <w:ilvl w:val="0"/>
          <w:numId w:val="8"/>
        </w:numPr>
        <w:spacing w:after="0" w:line="240" w:lineRule="auto"/>
        <w:contextualSpacing w:val="0"/>
        <w:rPr>
          <w:lang w:val="es-MX"/>
        </w:rPr>
      </w:pPr>
      <w:r w:rsidRPr="0033120C">
        <w:rPr>
          <w:i/>
          <w:lang w:val="es-MX"/>
        </w:rPr>
        <w:t>Suministrar información que permita el análisis de coyuntura y la toma de decisiones de política económica en el país.”</w:t>
      </w:r>
      <w:r w:rsidRPr="0033120C">
        <w:rPr>
          <w:lang w:val="es-MX"/>
        </w:rPr>
        <w:t xml:space="preserve"> </w:t>
      </w:r>
      <w:r w:rsidRPr="0033120C">
        <w:rPr>
          <w:vertAlign w:val="superscript"/>
          <w:lang w:val="es-MX"/>
        </w:rPr>
        <w:footnoteReference w:id="5"/>
      </w:r>
      <w:r w:rsidRPr="00B92CCA">
        <w:rPr>
          <w:lang w:val="es-MX"/>
        </w:rPr>
        <w:t xml:space="preserve">  </w:t>
      </w:r>
    </w:p>
    <w:p w:rsidR="009A2383" w:rsidRDefault="009A2383" w:rsidP="00C5090C">
      <w:pPr>
        <w:spacing w:after="0" w:line="240" w:lineRule="auto"/>
        <w:jc w:val="both"/>
        <w:rPr>
          <w:lang w:val="es-MX"/>
        </w:rPr>
      </w:pPr>
    </w:p>
    <w:p w:rsidR="00C5090C" w:rsidRDefault="00C5090C" w:rsidP="00C5090C">
      <w:pPr>
        <w:spacing w:after="0" w:line="240" w:lineRule="auto"/>
        <w:jc w:val="both"/>
        <w:rPr>
          <w:i/>
          <w:lang w:val="es-MX"/>
        </w:rPr>
      </w:pPr>
      <w:r w:rsidRPr="00B92CCA">
        <w:rPr>
          <w:lang w:val="es-MX"/>
        </w:rPr>
        <w:t xml:space="preserve">Ahora, en relación con el número oficial de decimales del índice y variación porcentual del IPC, el DANE señala en su </w:t>
      </w:r>
      <w:r w:rsidRPr="00FD1CFA">
        <w:rPr>
          <w:lang w:val="es-MX"/>
        </w:rPr>
        <w:t>comunicación con radicado CRA 2</w:t>
      </w:r>
      <w:r w:rsidR="00FD1CFA" w:rsidRPr="00FD1CFA">
        <w:rPr>
          <w:lang w:val="es-MX"/>
        </w:rPr>
        <w:t>0</w:t>
      </w:r>
      <w:r w:rsidRPr="00FD1CFA">
        <w:rPr>
          <w:lang w:val="es-MX"/>
        </w:rPr>
        <w:t>11-321-002163-2, lo siguiente:</w:t>
      </w:r>
    </w:p>
    <w:p w:rsidR="00C5090C" w:rsidRPr="000A459C" w:rsidRDefault="00C5090C" w:rsidP="00C5090C">
      <w:pPr>
        <w:spacing w:after="0" w:line="240" w:lineRule="auto"/>
        <w:jc w:val="both"/>
        <w:rPr>
          <w:i/>
          <w:lang w:val="es-MX"/>
        </w:rPr>
      </w:pPr>
    </w:p>
    <w:p w:rsidR="00C5090C" w:rsidRPr="000A459C" w:rsidRDefault="00C5090C" w:rsidP="00C5090C">
      <w:pPr>
        <w:spacing w:after="0" w:line="240" w:lineRule="auto"/>
        <w:ind w:firstLine="708"/>
        <w:jc w:val="both"/>
        <w:rPr>
          <w:i/>
          <w:lang w:val="es-MX"/>
        </w:rPr>
      </w:pPr>
      <w:r w:rsidRPr="000A459C">
        <w:rPr>
          <w:i/>
          <w:lang w:val="es-MX"/>
        </w:rPr>
        <w:t>“(…) En el caso del cálculo del IPC</w:t>
      </w:r>
    </w:p>
    <w:p w:rsidR="00C5090C" w:rsidRPr="000A459C" w:rsidRDefault="00C5090C" w:rsidP="00C5090C">
      <w:pPr>
        <w:pStyle w:val="Prrafodelista"/>
        <w:numPr>
          <w:ilvl w:val="0"/>
          <w:numId w:val="10"/>
        </w:numPr>
        <w:spacing w:after="0" w:line="240" w:lineRule="auto"/>
        <w:rPr>
          <w:i/>
          <w:lang w:val="es-MX"/>
        </w:rPr>
      </w:pPr>
      <w:r w:rsidRPr="000A459C">
        <w:rPr>
          <w:i/>
          <w:lang w:val="es-MX"/>
        </w:rPr>
        <w:t>En el cálculo y base de datos de la investigación, el proceso maneja 16 decimales</w:t>
      </w:r>
    </w:p>
    <w:p w:rsidR="00C5090C" w:rsidRDefault="00C5090C" w:rsidP="00C5090C">
      <w:pPr>
        <w:spacing w:after="0" w:line="240" w:lineRule="auto"/>
        <w:ind w:firstLine="708"/>
        <w:jc w:val="both"/>
        <w:rPr>
          <w:i/>
          <w:lang w:val="es-MX"/>
        </w:rPr>
      </w:pPr>
    </w:p>
    <w:p w:rsidR="00C5090C" w:rsidRPr="000A459C" w:rsidRDefault="00C5090C" w:rsidP="00C5090C">
      <w:pPr>
        <w:spacing w:after="0" w:line="240" w:lineRule="auto"/>
        <w:ind w:firstLine="708"/>
        <w:jc w:val="both"/>
        <w:rPr>
          <w:i/>
          <w:lang w:val="es-MX"/>
        </w:rPr>
      </w:pPr>
      <w:r w:rsidRPr="000A459C">
        <w:rPr>
          <w:i/>
          <w:lang w:val="es-MX"/>
        </w:rPr>
        <w:t xml:space="preserve">En el proceso de difusión y certificación que elabora el banco de datos de la entidad </w:t>
      </w:r>
    </w:p>
    <w:p w:rsidR="00C5090C" w:rsidRPr="000A459C" w:rsidRDefault="00C5090C" w:rsidP="00C5090C">
      <w:pPr>
        <w:pStyle w:val="Prrafodelista"/>
        <w:numPr>
          <w:ilvl w:val="0"/>
          <w:numId w:val="11"/>
        </w:numPr>
        <w:spacing w:after="0" w:line="240" w:lineRule="auto"/>
        <w:rPr>
          <w:i/>
          <w:lang w:val="es-MX"/>
        </w:rPr>
      </w:pPr>
      <w:r w:rsidRPr="000A459C">
        <w:rPr>
          <w:i/>
          <w:lang w:val="es-MX"/>
        </w:rPr>
        <w:t>En los documentos de difusión como: boletines de prensa, comunicados, y anexos, el DANE publica los índices y variaciones a dos decimales</w:t>
      </w:r>
    </w:p>
    <w:p w:rsidR="00C5090C" w:rsidRPr="000A459C" w:rsidRDefault="00C5090C" w:rsidP="00C5090C">
      <w:pPr>
        <w:pStyle w:val="Prrafodelista"/>
        <w:numPr>
          <w:ilvl w:val="0"/>
          <w:numId w:val="11"/>
        </w:numPr>
        <w:spacing w:after="0" w:line="240" w:lineRule="auto"/>
        <w:rPr>
          <w:i/>
          <w:lang w:val="es-MX"/>
        </w:rPr>
      </w:pPr>
      <w:r w:rsidRPr="000A459C">
        <w:rPr>
          <w:i/>
          <w:lang w:val="es-MX"/>
        </w:rPr>
        <w:t>El índice de precios al consumidor, se certifica a 5 decimales</w:t>
      </w:r>
    </w:p>
    <w:p w:rsidR="00C5090C" w:rsidRPr="000A459C" w:rsidRDefault="00C5090C" w:rsidP="00C5090C">
      <w:pPr>
        <w:pStyle w:val="Prrafodelista"/>
        <w:numPr>
          <w:ilvl w:val="0"/>
          <w:numId w:val="11"/>
        </w:numPr>
        <w:spacing w:after="0" w:line="240" w:lineRule="auto"/>
        <w:rPr>
          <w:i/>
          <w:lang w:val="es-MX"/>
        </w:rPr>
      </w:pPr>
      <w:r w:rsidRPr="000A459C">
        <w:rPr>
          <w:i/>
          <w:lang w:val="es-MX"/>
        </w:rPr>
        <w:t>Las variaciones de este índice, se certifican a dos decimales (…)”</w:t>
      </w:r>
    </w:p>
    <w:p w:rsidR="00C5090C" w:rsidRDefault="00C5090C" w:rsidP="00C5090C">
      <w:pPr>
        <w:spacing w:after="0" w:line="240" w:lineRule="auto"/>
        <w:jc w:val="both"/>
        <w:rPr>
          <w:lang w:val="es-MX"/>
        </w:rPr>
      </w:pPr>
    </w:p>
    <w:p w:rsidR="00C5090C" w:rsidRPr="00B92CCA" w:rsidRDefault="00C5090C" w:rsidP="00C5090C">
      <w:pPr>
        <w:spacing w:after="0" w:line="240" w:lineRule="auto"/>
        <w:jc w:val="both"/>
        <w:rPr>
          <w:lang w:val="es-MX"/>
        </w:rPr>
      </w:pPr>
      <w:r w:rsidRPr="00B92CCA">
        <w:rPr>
          <w:lang w:val="es-MX"/>
        </w:rPr>
        <w:t xml:space="preserve">En consecuencia, tomando en consideración los lineamientos del DANE sobre el número de decimales oficial del índice y variación porcentual de IPC, en el parágrafo del artículo </w:t>
      </w:r>
      <w:r w:rsidR="00A0200E">
        <w:rPr>
          <w:lang w:val="es-MX"/>
        </w:rPr>
        <w:t xml:space="preserve">5 </w:t>
      </w:r>
      <w:r w:rsidRPr="00B92CCA">
        <w:rPr>
          <w:lang w:val="es-MX"/>
        </w:rPr>
        <w:t>de la Resolución CRA 543 de 2011 se definió</w:t>
      </w:r>
      <w:r w:rsidR="00CA2043">
        <w:rPr>
          <w:lang w:val="es-MX"/>
        </w:rPr>
        <w:t xml:space="preserve"> lo siguiente</w:t>
      </w:r>
      <w:r w:rsidRPr="00B92CCA">
        <w:rPr>
          <w:lang w:val="es-MX"/>
        </w:rPr>
        <w:t>:</w:t>
      </w:r>
    </w:p>
    <w:p w:rsidR="00C5090C" w:rsidRDefault="00C5090C" w:rsidP="00C5090C">
      <w:pPr>
        <w:spacing w:after="0" w:line="240" w:lineRule="auto"/>
        <w:jc w:val="both"/>
        <w:rPr>
          <w:lang w:val="es-MX"/>
        </w:rPr>
      </w:pPr>
    </w:p>
    <w:p w:rsidR="00C5090C" w:rsidRPr="00C42952" w:rsidRDefault="00C5090C" w:rsidP="00C5090C">
      <w:pPr>
        <w:spacing w:after="0" w:line="240" w:lineRule="auto"/>
        <w:jc w:val="both"/>
        <w:rPr>
          <w:i/>
          <w:lang w:val="es-MX"/>
        </w:rPr>
      </w:pPr>
      <w:r w:rsidRPr="00B92CCA">
        <w:rPr>
          <w:lang w:val="es-MX"/>
        </w:rPr>
        <w:t>Índice IPC</w:t>
      </w:r>
      <w:r w:rsidRPr="00C42952">
        <w:rPr>
          <w:i/>
          <w:lang w:val="es-MX"/>
        </w:rPr>
        <w:t>: “(…) Para la estimación del factor de actualización, se utilizará el índice IPC expresado de acuerdo con la base definida por el DANE vigente al momento de expedición de la presente resolución, redondeado a la cantidad de decimales que dicha entidad publique de manera oficial (…)”.</w:t>
      </w:r>
    </w:p>
    <w:p w:rsidR="00C5090C" w:rsidRPr="00C42952" w:rsidRDefault="00C5090C" w:rsidP="00C5090C">
      <w:pPr>
        <w:spacing w:after="0" w:line="240" w:lineRule="auto"/>
        <w:jc w:val="both"/>
        <w:rPr>
          <w:i/>
          <w:lang w:val="es-MX"/>
        </w:rPr>
      </w:pPr>
      <w:r w:rsidRPr="00C42952">
        <w:rPr>
          <w:i/>
          <w:lang w:val="es-MX"/>
        </w:rPr>
        <w:t xml:space="preserve">Variación Porcentual IPC: “(…) El factor de actualización obtenido </w:t>
      </w:r>
      <w:proofErr w:type="spellStart"/>
      <w:r w:rsidRPr="00C42952">
        <w:rPr>
          <w:i/>
          <w:lang w:val="es-MX"/>
        </w:rPr>
        <w:t>FAipc</w:t>
      </w:r>
      <w:proofErr w:type="spellEnd"/>
      <w:r w:rsidRPr="00C42952">
        <w:rPr>
          <w:i/>
          <w:lang w:val="es-MX"/>
        </w:rPr>
        <w:t xml:space="preserve">, deberá ser redondeado a dos decimales (…)”. </w:t>
      </w:r>
    </w:p>
    <w:p w:rsidR="009A2383" w:rsidRDefault="009A2383" w:rsidP="009A2383">
      <w:pPr>
        <w:pStyle w:val="ListParagraph1"/>
        <w:spacing w:after="0" w:line="240" w:lineRule="auto"/>
        <w:ind w:left="0"/>
        <w:jc w:val="both"/>
        <w:rPr>
          <w:rFonts w:cs="Times New Roman"/>
          <w:szCs w:val="20"/>
          <w:lang w:val="es-MX" w:bidi="en-US"/>
        </w:rPr>
      </w:pPr>
    </w:p>
    <w:p w:rsidR="00C5090C" w:rsidRPr="00C5090C" w:rsidRDefault="00C5090C" w:rsidP="009A2383">
      <w:pPr>
        <w:pStyle w:val="ListParagraph1"/>
        <w:spacing w:after="0" w:line="240" w:lineRule="auto"/>
        <w:ind w:left="0"/>
        <w:jc w:val="both"/>
        <w:rPr>
          <w:rFonts w:cs="Times New Roman"/>
          <w:szCs w:val="20"/>
          <w:lang w:val="es-MX" w:bidi="en-US"/>
        </w:rPr>
      </w:pPr>
      <w:r w:rsidRPr="00C5090C">
        <w:rPr>
          <w:rFonts w:cs="Times New Roman"/>
          <w:szCs w:val="20"/>
          <w:lang w:val="es-MX" w:bidi="en-US"/>
        </w:rPr>
        <w:t xml:space="preserve">Por otra parte, el redondeo a dos decimales de las operaciones resultantes de la actualización de costos y tarifas, señalada en el parágrafo del artículo 5 de la Resolución CRA 543 de 2011, es consecuente con el número de decimales utilizado para el reporte de costos y tarifas de la metodología tarifaria vigente en la compilatoria del Sistema Único de Información (SUI).   </w:t>
      </w:r>
    </w:p>
    <w:p w:rsidR="00C5090C" w:rsidRPr="00C5090C" w:rsidRDefault="00C5090C" w:rsidP="00C5090C">
      <w:pPr>
        <w:pStyle w:val="ListParagraph1"/>
        <w:spacing w:after="0" w:line="240" w:lineRule="auto"/>
        <w:jc w:val="both"/>
        <w:rPr>
          <w:rFonts w:cs="Times New Roman"/>
          <w:szCs w:val="20"/>
          <w:lang w:val="es-MX" w:bidi="en-US"/>
        </w:rPr>
      </w:pPr>
    </w:p>
    <w:p w:rsidR="00C5090C" w:rsidRDefault="00C5090C" w:rsidP="00C5090C">
      <w:pPr>
        <w:spacing w:after="0" w:line="240" w:lineRule="auto"/>
        <w:jc w:val="both"/>
      </w:pPr>
      <w:r>
        <w:t>Sin embargo, es preciso señalar que la variación porcentual del IPC está implícita en el factor de actualización IPC (</w:t>
      </w:r>
      <w:proofErr w:type="spellStart"/>
      <w:r>
        <w:t>FAipc</w:t>
      </w:r>
      <w:proofErr w:type="spellEnd"/>
      <w:r>
        <w:t xml:space="preserve">), de tal forma que de acuerdo con lo </w:t>
      </w:r>
      <w:r w:rsidR="0091594F">
        <w:t>indicado</w:t>
      </w:r>
      <w:r>
        <w:t xml:space="preserve"> por el DANE en relación con el redondeo de la variación porcentual del IPC, esta debe hacerse a dos decimales. De lo anterior se desprende que dicha variación, al ser expresada como factor de actualización por IPC (</w:t>
      </w:r>
      <w:proofErr w:type="spellStart"/>
      <w:r>
        <w:t>FAipc</w:t>
      </w:r>
      <w:proofErr w:type="spellEnd"/>
      <w:r>
        <w:t>), para estar en línea con lo indicado por el DANE, deberá ser redondeada a cuatro decimales.</w:t>
      </w:r>
    </w:p>
    <w:p w:rsidR="00C5090C" w:rsidRPr="00C5090C" w:rsidRDefault="00C5090C" w:rsidP="00BF7D27">
      <w:pPr>
        <w:pStyle w:val="Ttulo1"/>
        <w:keepNext w:val="0"/>
        <w:keepLines w:val="0"/>
        <w:numPr>
          <w:ilvl w:val="1"/>
          <w:numId w:val="7"/>
        </w:numPr>
        <w:suppressAutoHyphens w:val="0"/>
        <w:spacing w:before="300" w:line="240" w:lineRule="auto"/>
        <w:jc w:val="both"/>
        <w:rPr>
          <w:rFonts w:cs="Calibri"/>
          <w:szCs w:val="22"/>
          <w:lang w:val="es-MX"/>
        </w:rPr>
      </w:pPr>
      <w:bookmarkStart w:id="7" w:name="_Toc320625173"/>
      <w:bookmarkStart w:id="8" w:name="_Toc320625174"/>
      <w:bookmarkStart w:id="9" w:name="_Toc320625175"/>
      <w:bookmarkStart w:id="10" w:name="_Toc320625176"/>
      <w:bookmarkStart w:id="11" w:name="_Toc320625177"/>
      <w:bookmarkStart w:id="12" w:name="_Toc320625178"/>
      <w:bookmarkStart w:id="13" w:name="_Toc320625179"/>
      <w:bookmarkStart w:id="14" w:name="_Toc323042160"/>
      <w:bookmarkEnd w:id="7"/>
      <w:bookmarkEnd w:id="8"/>
      <w:bookmarkEnd w:id="9"/>
      <w:bookmarkEnd w:id="10"/>
      <w:bookmarkEnd w:id="11"/>
      <w:bookmarkEnd w:id="12"/>
      <w:r w:rsidRPr="00C5090C">
        <w:rPr>
          <w:rFonts w:cs="Calibri"/>
          <w:szCs w:val="22"/>
          <w:lang w:val="es-MX"/>
        </w:rPr>
        <w:t>ANÁLISIS JURIDICO</w:t>
      </w:r>
      <w:bookmarkEnd w:id="13"/>
      <w:bookmarkEnd w:id="14"/>
    </w:p>
    <w:p w:rsidR="00C5090C" w:rsidRPr="00B92CCA" w:rsidRDefault="00C5090C" w:rsidP="00C5090C">
      <w:pPr>
        <w:spacing w:after="0" w:line="240" w:lineRule="auto"/>
        <w:rPr>
          <w:lang w:val="es-MX"/>
        </w:rPr>
      </w:pPr>
    </w:p>
    <w:p w:rsidR="00C5090C" w:rsidRPr="00B92CCA" w:rsidRDefault="003A0807" w:rsidP="00C5090C">
      <w:pPr>
        <w:spacing w:after="0" w:line="240" w:lineRule="auto"/>
        <w:jc w:val="both"/>
        <w:rPr>
          <w:lang w:val="es-MX"/>
        </w:rPr>
      </w:pPr>
      <w:r>
        <w:rPr>
          <w:lang w:val="es-MX"/>
        </w:rPr>
        <w:t>Ahora bien, el parágrafo del artículo 5 de la</w:t>
      </w:r>
      <w:r w:rsidR="00C5090C" w:rsidRPr="00B92CCA">
        <w:rPr>
          <w:lang w:val="es-MX"/>
        </w:rPr>
        <w:t xml:space="preserve"> Resolución </w:t>
      </w:r>
      <w:r>
        <w:rPr>
          <w:lang w:val="es-MX"/>
        </w:rPr>
        <w:t xml:space="preserve">CRA </w:t>
      </w:r>
      <w:r w:rsidR="00C5090C" w:rsidRPr="00B92CCA">
        <w:rPr>
          <w:lang w:val="es-MX"/>
        </w:rPr>
        <w:t>543 de 2011</w:t>
      </w:r>
      <w:r>
        <w:rPr>
          <w:lang w:val="es-MX"/>
        </w:rPr>
        <w:t>, dispone lo siguiente</w:t>
      </w:r>
      <w:r w:rsidR="00C5090C" w:rsidRPr="00B92CCA">
        <w:rPr>
          <w:lang w:val="es-MX"/>
        </w:rPr>
        <w:t>:</w:t>
      </w:r>
    </w:p>
    <w:p w:rsidR="00C5090C" w:rsidRDefault="00C5090C" w:rsidP="00C5090C">
      <w:pPr>
        <w:spacing w:after="0" w:line="240" w:lineRule="auto"/>
        <w:ind w:left="851"/>
        <w:jc w:val="both"/>
        <w:rPr>
          <w:i/>
          <w:lang w:val="es-MX"/>
        </w:rPr>
      </w:pPr>
    </w:p>
    <w:p w:rsidR="00C5090C" w:rsidRPr="002C0035" w:rsidRDefault="00C5090C" w:rsidP="00C5090C">
      <w:pPr>
        <w:spacing w:after="0" w:line="240" w:lineRule="auto"/>
        <w:ind w:left="851"/>
        <w:jc w:val="both"/>
        <w:rPr>
          <w:i/>
          <w:lang w:val="es-MX"/>
        </w:rPr>
      </w:pPr>
      <w:r w:rsidRPr="002C0035">
        <w:rPr>
          <w:i/>
          <w:lang w:val="es-MX"/>
        </w:rPr>
        <w:t xml:space="preserve">“Parágrafo.- Para la estimación de la tarifa de actualización, se utilizará el índice IPC expresado de acuerdo con la base definida por el DANE vigente al momento de expedición de la presente resolución, redondeado a la cantidad de decimales que dicha entidad publique de manera oficial. El factor de actualización obtenido </w:t>
      </w:r>
      <w:proofErr w:type="spellStart"/>
      <w:r w:rsidRPr="002C0035">
        <w:rPr>
          <w:i/>
          <w:lang w:val="es-MX"/>
        </w:rPr>
        <w:t>FAipc</w:t>
      </w:r>
      <w:proofErr w:type="spellEnd"/>
      <w:r w:rsidRPr="002C0035">
        <w:rPr>
          <w:b/>
          <w:i/>
          <w:lang w:val="es-MX"/>
        </w:rPr>
        <w:t>, deberá ser redondeado a dos decimales</w:t>
      </w:r>
      <w:r w:rsidRPr="002C0035">
        <w:rPr>
          <w:i/>
          <w:lang w:val="es-MX"/>
        </w:rPr>
        <w:t>, al igual que las operaciones resultantes de la actualización de costos y tarifas.”</w:t>
      </w:r>
      <w:r>
        <w:rPr>
          <w:i/>
          <w:lang w:val="es-MX"/>
        </w:rPr>
        <w:t xml:space="preserve"> </w:t>
      </w:r>
      <w:r w:rsidRPr="002C0035">
        <w:rPr>
          <w:lang w:val="es-MX"/>
        </w:rPr>
        <w:t>(</w:t>
      </w:r>
      <w:r>
        <w:rPr>
          <w:lang w:val="es-MX"/>
        </w:rPr>
        <w:t>R</w:t>
      </w:r>
      <w:r w:rsidRPr="002C0035">
        <w:rPr>
          <w:lang w:val="es-MX"/>
        </w:rPr>
        <w:t>esaltado fuera de texto)</w:t>
      </w:r>
    </w:p>
    <w:p w:rsidR="00C5090C" w:rsidRDefault="00C5090C" w:rsidP="00C5090C">
      <w:pPr>
        <w:spacing w:after="0" w:line="240" w:lineRule="auto"/>
        <w:jc w:val="both"/>
        <w:rPr>
          <w:lang w:val="es-MX"/>
        </w:rPr>
      </w:pPr>
    </w:p>
    <w:p w:rsidR="00AA6B0E" w:rsidRDefault="00F84457" w:rsidP="00AA6B0E">
      <w:pPr>
        <w:spacing w:after="0" w:line="240" w:lineRule="auto"/>
        <w:jc w:val="both"/>
        <w:rPr>
          <w:lang w:val="es-MX"/>
        </w:rPr>
      </w:pPr>
      <w:r>
        <w:rPr>
          <w:lang w:val="es-MX"/>
        </w:rPr>
        <w:t>Bajo ese entendido</w:t>
      </w:r>
      <w:r w:rsidR="00C5090C" w:rsidRPr="00B92CCA">
        <w:rPr>
          <w:lang w:val="es-MX"/>
        </w:rPr>
        <w:t xml:space="preserve">, con el fin de establecer los mecanismos jurídicos que permitan </w:t>
      </w:r>
      <w:r w:rsidR="00710DD2">
        <w:rPr>
          <w:lang w:val="es-MX"/>
        </w:rPr>
        <w:t>determinar si procede una</w:t>
      </w:r>
      <w:r w:rsidR="00C5090C" w:rsidRPr="00B92CCA">
        <w:rPr>
          <w:lang w:val="es-MX"/>
        </w:rPr>
        <w:t xml:space="preserve"> modificación o </w:t>
      </w:r>
      <w:r w:rsidR="00710DD2">
        <w:rPr>
          <w:lang w:val="es-MX"/>
        </w:rPr>
        <w:t xml:space="preserve">una </w:t>
      </w:r>
      <w:r w:rsidR="00C5090C" w:rsidRPr="00B92CCA">
        <w:rPr>
          <w:lang w:val="es-MX"/>
        </w:rPr>
        <w:t>aclaración</w:t>
      </w:r>
      <w:r w:rsidR="00FB7372">
        <w:rPr>
          <w:lang w:val="es-MX"/>
        </w:rPr>
        <w:t xml:space="preserve"> del artículo en mención</w:t>
      </w:r>
      <w:r w:rsidR="00C5090C" w:rsidRPr="00B92CCA">
        <w:rPr>
          <w:lang w:val="es-MX"/>
        </w:rPr>
        <w:t xml:space="preserve">, </w:t>
      </w:r>
      <w:r w:rsidR="00262D81">
        <w:rPr>
          <w:lang w:val="es-MX"/>
        </w:rPr>
        <w:t xml:space="preserve">en relación con el redondeo decimal de la variación porcentual, </w:t>
      </w:r>
      <w:r w:rsidR="009A2383">
        <w:rPr>
          <w:lang w:val="es-MX"/>
        </w:rPr>
        <w:t xml:space="preserve">se </w:t>
      </w:r>
      <w:r w:rsidR="00710DD2">
        <w:rPr>
          <w:lang w:val="es-MX"/>
        </w:rPr>
        <w:t>deben tener en cuenta los siguientes aspectos</w:t>
      </w:r>
      <w:r w:rsidR="00C5090C" w:rsidRPr="00B92CCA">
        <w:rPr>
          <w:lang w:val="es-MX"/>
        </w:rPr>
        <w:t xml:space="preserve">: </w:t>
      </w:r>
    </w:p>
    <w:p w:rsidR="00AA6B0E" w:rsidRDefault="00AA6B0E" w:rsidP="00AA6B0E">
      <w:pPr>
        <w:spacing w:after="0" w:line="240" w:lineRule="auto"/>
        <w:jc w:val="both"/>
        <w:rPr>
          <w:lang w:val="es-MX"/>
        </w:rPr>
      </w:pPr>
    </w:p>
    <w:p w:rsidR="009A2383" w:rsidRDefault="00C5090C" w:rsidP="00AA6B0E">
      <w:pPr>
        <w:pStyle w:val="Prrafodelista"/>
        <w:numPr>
          <w:ilvl w:val="0"/>
          <w:numId w:val="23"/>
        </w:numPr>
        <w:spacing w:after="0" w:line="240" w:lineRule="auto"/>
        <w:rPr>
          <w:lang w:val="es-MX"/>
        </w:rPr>
      </w:pPr>
      <w:r w:rsidRPr="00AA6B0E">
        <w:rPr>
          <w:lang w:val="es-MX"/>
        </w:rPr>
        <w:t xml:space="preserve">precisar en </w:t>
      </w:r>
      <w:r w:rsidR="009A2383" w:rsidRPr="00AA6B0E">
        <w:rPr>
          <w:lang w:val="es-MX"/>
        </w:rPr>
        <w:t>cuáles</w:t>
      </w:r>
      <w:r w:rsidRPr="00AA6B0E">
        <w:rPr>
          <w:lang w:val="es-MX"/>
        </w:rPr>
        <w:t xml:space="preserve"> casos procede una u otra y </w:t>
      </w:r>
    </w:p>
    <w:p w:rsidR="00AA6B0E" w:rsidRPr="00AA6B0E" w:rsidRDefault="00AA6B0E" w:rsidP="00AA6B0E">
      <w:pPr>
        <w:pStyle w:val="Prrafodelista"/>
        <w:numPr>
          <w:ilvl w:val="0"/>
          <w:numId w:val="23"/>
        </w:numPr>
        <w:spacing w:after="0" w:line="240" w:lineRule="auto"/>
        <w:rPr>
          <w:lang w:val="es-MX"/>
        </w:rPr>
      </w:pPr>
      <w:r>
        <w:rPr>
          <w:lang w:val="es-MX"/>
        </w:rPr>
        <w:t xml:space="preserve">si es necesario </w:t>
      </w:r>
      <w:r w:rsidRPr="00B92CCA">
        <w:rPr>
          <w:lang w:val="es-MX"/>
        </w:rPr>
        <w:t xml:space="preserve">o no agotar el procedimiento establecido en </w:t>
      </w:r>
      <w:r>
        <w:rPr>
          <w:lang w:val="es-MX"/>
        </w:rPr>
        <w:t>el D</w:t>
      </w:r>
      <w:r w:rsidRPr="00BC1246">
        <w:rPr>
          <w:lang w:val="es-MX"/>
        </w:rPr>
        <w:t xml:space="preserve">ecreto 2696 de </w:t>
      </w:r>
      <w:r w:rsidRPr="00B92CCA">
        <w:rPr>
          <w:lang w:val="es-MX"/>
        </w:rPr>
        <w:t xml:space="preserve">2004 </w:t>
      </w:r>
      <w:r w:rsidRPr="00BE6BFD">
        <w:rPr>
          <w:i/>
          <w:lang w:val="es-MX"/>
        </w:rPr>
        <w:t>“por el cual se definen la reglas mínimas para garantizar la divulgación y la participación en las actuaciones de las Comisiones de Regulación”</w:t>
      </w:r>
      <w:r w:rsidRPr="00B92CCA">
        <w:rPr>
          <w:lang w:val="es-MX"/>
        </w:rPr>
        <w:t>.</w:t>
      </w:r>
    </w:p>
    <w:p w:rsidR="00BA6C95" w:rsidRDefault="00BA6C95" w:rsidP="00C5090C">
      <w:pPr>
        <w:spacing w:after="0" w:line="240" w:lineRule="auto"/>
        <w:jc w:val="both"/>
        <w:rPr>
          <w:lang w:val="es-MX"/>
        </w:rPr>
      </w:pPr>
    </w:p>
    <w:p w:rsidR="00F51E99" w:rsidRDefault="00F51E99" w:rsidP="00C5090C">
      <w:pPr>
        <w:spacing w:after="0" w:line="240" w:lineRule="auto"/>
        <w:jc w:val="both"/>
        <w:rPr>
          <w:lang w:val="es-MX"/>
        </w:rPr>
      </w:pPr>
      <w:r>
        <w:rPr>
          <w:lang w:val="es-MX"/>
        </w:rPr>
        <w:t xml:space="preserve">En primer lugar, </w:t>
      </w:r>
      <w:r w:rsidR="009657F1">
        <w:rPr>
          <w:lang w:val="es-MX"/>
        </w:rPr>
        <w:t>es preciso señalar que</w:t>
      </w:r>
      <w:r>
        <w:rPr>
          <w:lang w:val="es-MX"/>
        </w:rPr>
        <w:t xml:space="preserve"> ni la </w:t>
      </w:r>
      <w:r w:rsidRPr="00A052FD">
        <w:rPr>
          <w:i/>
          <w:lang w:val="es-MX"/>
        </w:rPr>
        <w:t>“modificación”</w:t>
      </w:r>
      <w:r>
        <w:rPr>
          <w:lang w:val="es-MX"/>
        </w:rPr>
        <w:t xml:space="preserve"> ni la </w:t>
      </w:r>
      <w:r w:rsidRPr="008566D2">
        <w:rPr>
          <w:i/>
          <w:lang w:val="es-MX"/>
        </w:rPr>
        <w:t>“aclaración”</w:t>
      </w:r>
      <w:r>
        <w:rPr>
          <w:lang w:val="es-MX"/>
        </w:rPr>
        <w:t xml:space="preserve"> son instituciones jurídicas que hayan sido contempladas por el legislador como etapas propias de la actuación administrativa. En cambio, sí constituyen herramientas que le permiten al funcionario que expidió el acto, cumplir con los cometidos estatales, cuando quiera que evidencie un error </w:t>
      </w:r>
      <w:r w:rsidR="00CD6ABF">
        <w:rPr>
          <w:lang w:val="es-MX"/>
        </w:rPr>
        <w:t xml:space="preserve">sustancial </w:t>
      </w:r>
      <w:r>
        <w:rPr>
          <w:lang w:val="es-MX"/>
        </w:rPr>
        <w:t xml:space="preserve">que deba ser objeto de </w:t>
      </w:r>
      <w:r w:rsidR="00CD6ABF">
        <w:rPr>
          <w:lang w:val="es-MX"/>
        </w:rPr>
        <w:t>modificación</w:t>
      </w:r>
      <w:r>
        <w:rPr>
          <w:lang w:val="es-MX"/>
        </w:rPr>
        <w:t xml:space="preserve"> o exista la necesidad de dilucidar aquello</w:t>
      </w:r>
      <w:r w:rsidRPr="00F51E99">
        <w:rPr>
          <w:rFonts w:cs="Times New Roman"/>
          <w:szCs w:val="20"/>
          <w:lang w:val="es-MX" w:eastAsia="en-US"/>
        </w:rPr>
        <w:t xml:space="preserve"> que ofrezca dudas</w:t>
      </w:r>
      <w:r w:rsidR="00CD6ABF">
        <w:rPr>
          <w:rFonts w:cs="Times New Roman"/>
          <w:szCs w:val="20"/>
          <w:lang w:val="es-MX" w:eastAsia="en-US"/>
        </w:rPr>
        <w:t>,</w:t>
      </w:r>
      <w:r w:rsidRPr="00F51E99">
        <w:rPr>
          <w:rFonts w:cs="Times New Roman"/>
          <w:szCs w:val="20"/>
          <w:lang w:val="es-MX" w:eastAsia="en-US"/>
        </w:rPr>
        <w:t xml:space="preserve"> para asegurar así la plena eficacia del acto</w:t>
      </w:r>
      <w:r>
        <w:rPr>
          <w:lang w:val="es-MX"/>
        </w:rPr>
        <w:t xml:space="preserve"> y</w:t>
      </w:r>
      <w:r w:rsidRPr="00F51E99">
        <w:rPr>
          <w:rFonts w:cs="Times New Roman"/>
          <w:szCs w:val="20"/>
          <w:lang w:val="es-MX" w:eastAsia="en-US"/>
        </w:rPr>
        <w:t xml:space="preserve"> la cabal satisfacción del interés general</w:t>
      </w:r>
      <w:r>
        <w:rPr>
          <w:lang w:val="es-MX"/>
        </w:rPr>
        <w:t>.</w:t>
      </w:r>
    </w:p>
    <w:p w:rsidR="00C5090C" w:rsidRDefault="00C5090C" w:rsidP="00C5090C">
      <w:pPr>
        <w:spacing w:after="0" w:line="240" w:lineRule="auto"/>
        <w:jc w:val="both"/>
        <w:rPr>
          <w:lang w:val="es-MX"/>
        </w:rPr>
      </w:pPr>
    </w:p>
    <w:p w:rsidR="00F51E99" w:rsidRDefault="00F51E99" w:rsidP="00C5090C">
      <w:pPr>
        <w:spacing w:after="0" w:line="240" w:lineRule="auto"/>
        <w:jc w:val="both"/>
        <w:rPr>
          <w:lang w:val="es-MX"/>
        </w:rPr>
      </w:pPr>
      <w:r>
        <w:rPr>
          <w:lang w:val="es-MX"/>
        </w:rPr>
        <w:t xml:space="preserve">La </w:t>
      </w:r>
      <w:r w:rsidRPr="00291B39">
        <w:rPr>
          <w:i/>
          <w:lang w:val="es-MX"/>
        </w:rPr>
        <w:t>“modificación”</w:t>
      </w:r>
      <w:r>
        <w:rPr>
          <w:lang w:val="es-MX"/>
        </w:rPr>
        <w:t xml:space="preserve"> es propia de uno de los </w:t>
      </w:r>
      <w:r w:rsidR="00016CC3">
        <w:rPr>
          <w:lang w:val="es-MX"/>
        </w:rPr>
        <w:t>objetivos</w:t>
      </w:r>
      <w:r>
        <w:rPr>
          <w:lang w:val="es-MX"/>
        </w:rPr>
        <w:t xml:space="preserve"> de los recursos de la vía gubernativa. Valga decir que los recursos tienen, justamente como</w:t>
      </w:r>
      <w:r w:rsidR="00C71BEA">
        <w:rPr>
          <w:lang w:val="es-MX"/>
        </w:rPr>
        <w:t xml:space="preserve"> finalidad</w:t>
      </w:r>
      <w:r>
        <w:rPr>
          <w:lang w:val="es-MX"/>
        </w:rPr>
        <w:t>, que el mismo funcionario que tomó la decisión o su superior jerárquico, aclaren, modifiquen o revoquen  una decisión adoptada a t</w:t>
      </w:r>
      <w:r w:rsidR="006D2241">
        <w:rPr>
          <w:lang w:val="es-MX"/>
        </w:rPr>
        <w:t>ravés de un acto administrativo, a la luz de lo dispuesto por los artículos 50 y 51 de C.C.A.</w:t>
      </w:r>
      <w:r w:rsidR="00DF1074">
        <w:rPr>
          <w:lang w:val="es-MX"/>
        </w:rPr>
        <w:t xml:space="preserve"> Sin embargo, también cobra efectos cuando el mismo estatuto le otorga a la Administración la posibilidad de deja</w:t>
      </w:r>
      <w:r w:rsidR="001C7088">
        <w:rPr>
          <w:lang w:val="es-MX"/>
        </w:rPr>
        <w:t>r</w:t>
      </w:r>
      <w:r w:rsidR="00DF1074">
        <w:rPr>
          <w:lang w:val="es-MX"/>
        </w:rPr>
        <w:t xml:space="preserve"> sin efectos sus actos a través de la revocatoria directa, bien sea de manera total o parcia</w:t>
      </w:r>
      <w:r w:rsidR="00AB6B98">
        <w:rPr>
          <w:lang w:val="es-MX"/>
        </w:rPr>
        <w:t xml:space="preserve">l. </w:t>
      </w:r>
    </w:p>
    <w:p w:rsidR="00C5090C" w:rsidRDefault="00C5090C" w:rsidP="00C5090C">
      <w:pPr>
        <w:spacing w:after="0" w:line="240" w:lineRule="auto"/>
        <w:jc w:val="both"/>
        <w:rPr>
          <w:lang w:val="es-MX"/>
        </w:rPr>
      </w:pPr>
    </w:p>
    <w:p w:rsidR="00F51E99" w:rsidRDefault="00F51E99" w:rsidP="00C5090C">
      <w:pPr>
        <w:spacing w:after="0" w:line="240" w:lineRule="auto"/>
        <w:jc w:val="both"/>
        <w:rPr>
          <w:lang w:val="es-MX"/>
        </w:rPr>
      </w:pPr>
      <w:r>
        <w:rPr>
          <w:lang w:val="es-MX"/>
        </w:rPr>
        <w:t xml:space="preserve">Jurídicamente </w:t>
      </w:r>
      <w:r w:rsidR="009920A0">
        <w:rPr>
          <w:lang w:val="es-MX"/>
        </w:rPr>
        <w:t>esta figura</w:t>
      </w:r>
      <w:r>
        <w:rPr>
          <w:lang w:val="es-MX"/>
        </w:rPr>
        <w:t xml:space="preserve"> entraña el cambio sustancial del contenido o sentido de una decisión; porque involucra la determinación de la misma y aun cuando la aclaración se encuentra prevista como una de las finalidades de los recursos, al igual que la modificación y, en términos prácticos pueda verse comprometida en una modificación del acto administrativo, lo cierto es que este último propósito busca la simple explicación de un contenido que ofrece duda.</w:t>
      </w:r>
    </w:p>
    <w:p w:rsidR="00F51E99" w:rsidRDefault="00F51E99" w:rsidP="00C5090C">
      <w:pPr>
        <w:spacing w:after="0" w:line="240" w:lineRule="auto"/>
        <w:jc w:val="both"/>
        <w:rPr>
          <w:lang w:val="es-MX"/>
        </w:rPr>
      </w:pPr>
    </w:p>
    <w:p w:rsidR="00C5090C" w:rsidRDefault="00F51E99" w:rsidP="00C5090C">
      <w:pPr>
        <w:spacing w:after="0" w:line="240" w:lineRule="auto"/>
        <w:jc w:val="both"/>
        <w:rPr>
          <w:lang w:val="es-MX"/>
        </w:rPr>
      </w:pPr>
      <w:r>
        <w:rPr>
          <w:lang w:val="es-MX"/>
        </w:rPr>
        <w:t>D</w:t>
      </w:r>
      <w:r w:rsidR="00C5090C">
        <w:rPr>
          <w:lang w:val="es-MX"/>
        </w:rPr>
        <w:t xml:space="preserve">e conformidad con el inciso 3 del artículo 73 del C.C.A., la </w:t>
      </w:r>
      <w:r w:rsidR="00C5090C" w:rsidRPr="00291B39">
        <w:rPr>
          <w:i/>
          <w:lang w:val="es-MX"/>
        </w:rPr>
        <w:t>“aclaración”</w:t>
      </w:r>
      <w:r w:rsidR="00C5090C">
        <w:rPr>
          <w:lang w:val="es-MX"/>
        </w:rPr>
        <w:t xml:space="preserve"> procede en los siguientes términos:</w:t>
      </w:r>
    </w:p>
    <w:p w:rsidR="009A2383" w:rsidRDefault="009A2383" w:rsidP="00C5090C">
      <w:pPr>
        <w:spacing w:after="0" w:line="240" w:lineRule="auto"/>
        <w:jc w:val="both"/>
        <w:rPr>
          <w:lang w:val="es-MX"/>
        </w:rPr>
      </w:pPr>
    </w:p>
    <w:p w:rsidR="00C5090C" w:rsidRDefault="00C5090C" w:rsidP="00C5090C">
      <w:pPr>
        <w:spacing w:after="0" w:line="240" w:lineRule="auto"/>
        <w:jc w:val="both"/>
        <w:rPr>
          <w:lang w:val="es-MX"/>
        </w:rPr>
      </w:pPr>
      <w:r>
        <w:rPr>
          <w:lang w:val="es-MX"/>
        </w:rPr>
        <w:t xml:space="preserve"> </w:t>
      </w:r>
      <w:r w:rsidRPr="00291B39">
        <w:rPr>
          <w:i/>
          <w:lang w:val="es-MX"/>
        </w:rPr>
        <w:t>“…siempre podrán revocarse parcialmente los actos administrativos en cuanto sea necesario para corregir simples errores aritméticos, o de hecho que no incidan en el sentido de la decisión”;</w:t>
      </w:r>
      <w:r w:rsidRPr="0074446D">
        <w:rPr>
          <w:lang w:val="es-MX"/>
        </w:rPr>
        <w:t xml:space="preserve"> de lo que se colige que, independientemente del acto que se trate, esto es, de carácter particular o concreto, se podrá aclara</w:t>
      </w:r>
      <w:r>
        <w:rPr>
          <w:lang w:val="es-MX"/>
        </w:rPr>
        <w:t>r,</w:t>
      </w:r>
      <w:r w:rsidRPr="0074446D">
        <w:rPr>
          <w:lang w:val="es-MX"/>
        </w:rPr>
        <w:t xml:space="preserve"> siempre que se trate de simples errores aritméticos o de hecho que </w:t>
      </w:r>
      <w:r>
        <w:rPr>
          <w:lang w:val="es-MX"/>
        </w:rPr>
        <w:t xml:space="preserve">no </w:t>
      </w:r>
      <w:r w:rsidRPr="0074446D">
        <w:rPr>
          <w:lang w:val="es-MX"/>
        </w:rPr>
        <w:t>incidan en el sentido de la decisión.</w:t>
      </w:r>
    </w:p>
    <w:p w:rsidR="009A2383" w:rsidRDefault="009A2383" w:rsidP="00C5090C">
      <w:pPr>
        <w:autoSpaceDE w:val="0"/>
        <w:autoSpaceDN w:val="0"/>
        <w:adjustRightInd w:val="0"/>
        <w:spacing w:after="0" w:line="240" w:lineRule="auto"/>
        <w:jc w:val="both"/>
        <w:rPr>
          <w:lang w:val="es-MX"/>
        </w:rPr>
      </w:pPr>
    </w:p>
    <w:p w:rsidR="00F51E99" w:rsidRPr="00F51E99" w:rsidRDefault="00C5090C" w:rsidP="00BA181E">
      <w:pPr>
        <w:autoSpaceDE w:val="0"/>
        <w:autoSpaceDN w:val="0"/>
        <w:adjustRightInd w:val="0"/>
        <w:spacing w:after="0" w:line="240" w:lineRule="auto"/>
        <w:jc w:val="both"/>
        <w:rPr>
          <w:lang w:val="es-MX"/>
        </w:rPr>
      </w:pPr>
      <w:r>
        <w:rPr>
          <w:lang w:val="es-MX"/>
        </w:rPr>
        <w:t xml:space="preserve">En relación con </w:t>
      </w:r>
      <w:r w:rsidR="00FE5309">
        <w:rPr>
          <w:lang w:val="es-MX"/>
        </w:rPr>
        <w:t>la aclaración</w:t>
      </w:r>
      <w:r w:rsidR="00BA181E">
        <w:rPr>
          <w:lang w:val="es-MX"/>
        </w:rPr>
        <w:t xml:space="preserve">, </w:t>
      </w:r>
      <w:r w:rsidR="00F51E99" w:rsidRPr="00F51E99">
        <w:rPr>
          <w:lang w:val="es-MX" w:eastAsia="en-US" w:bidi="en-US"/>
        </w:rPr>
        <w:t xml:space="preserve">de antaño, el Consejo de Estado ha señalado que </w:t>
      </w:r>
      <w:r w:rsidR="00F51E99" w:rsidRPr="00BA181E">
        <w:rPr>
          <w:rFonts w:asciiTheme="minorHAnsi" w:hAnsiTheme="minorHAnsi" w:cstheme="minorHAnsi"/>
          <w:i/>
          <w:lang w:val="es-MX" w:eastAsia="en-US" w:bidi="en-US"/>
        </w:rPr>
        <w:t>“</w:t>
      </w:r>
      <w:r w:rsidR="00BA181E">
        <w:rPr>
          <w:rFonts w:asciiTheme="minorHAnsi" w:hAnsiTheme="minorHAnsi" w:cstheme="minorHAnsi"/>
          <w:i/>
          <w:lang w:val="es-MX" w:eastAsia="en-US" w:bidi="en-US"/>
        </w:rPr>
        <w:t>…</w:t>
      </w:r>
      <w:r w:rsidR="00BA181E" w:rsidRPr="00BA181E">
        <w:rPr>
          <w:rStyle w:val="FontStyle65"/>
          <w:rFonts w:asciiTheme="minorHAnsi" w:hAnsiTheme="minorHAnsi" w:cstheme="minorHAnsi"/>
          <w:i/>
          <w:lang w:val="es-ES_tradnl" w:eastAsia="es-ES_tradnl"/>
        </w:rPr>
        <w:t xml:space="preserve">como quiera que la simple aclaración de ninguna manera puede entrañar cambio sustancial de la voluntad administrativa expresada en el acto, no se advierte ninguna razón para </w:t>
      </w:r>
      <w:smartTag w:uri="urn:schemas-microsoft-com:office:smarttags" w:element="PersonName">
        <w:r w:rsidR="00BA181E" w:rsidRPr="00BA181E">
          <w:rPr>
            <w:rStyle w:val="FontStyle65"/>
            <w:rFonts w:asciiTheme="minorHAnsi" w:hAnsiTheme="minorHAnsi" w:cstheme="minorHAnsi"/>
            <w:i/>
            <w:lang w:val="es-ES_tradnl" w:eastAsia="es-ES_tradnl"/>
          </w:rPr>
          <w:t>co</w:t>
        </w:r>
      </w:smartTag>
      <w:r w:rsidR="00BA181E" w:rsidRPr="00BA181E">
        <w:rPr>
          <w:rStyle w:val="FontStyle65"/>
          <w:rFonts w:asciiTheme="minorHAnsi" w:hAnsiTheme="minorHAnsi" w:cstheme="minorHAnsi"/>
          <w:i/>
          <w:lang w:val="es-ES_tradnl" w:eastAsia="es-ES_tradnl"/>
        </w:rPr>
        <w:t xml:space="preserve">ndicionar la potestad de aclarar al </w:t>
      </w:r>
      <w:smartTag w:uri="urn:schemas-microsoft-com:office:smarttags" w:element="PersonName">
        <w:r w:rsidR="00BA181E" w:rsidRPr="00BA181E">
          <w:rPr>
            <w:rStyle w:val="FontStyle65"/>
            <w:rFonts w:asciiTheme="minorHAnsi" w:hAnsiTheme="minorHAnsi" w:cstheme="minorHAnsi"/>
            <w:i/>
            <w:lang w:val="es-ES_tradnl" w:eastAsia="es-ES_tradnl"/>
          </w:rPr>
          <w:t>co</w:t>
        </w:r>
      </w:smartTag>
      <w:r w:rsidR="00BA181E" w:rsidRPr="00BA181E">
        <w:rPr>
          <w:rStyle w:val="FontStyle65"/>
          <w:rFonts w:asciiTheme="minorHAnsi" w:hAnsiTheme="minorHAnsi" w:cstheme="minorHAnsi"/>
          <w:i/>
          <w:lang w:val="es-ES_tradnl" w:eastAsia="es-ES_tradnl"/>
        </w:rPr>
        <w:t xml:space="preserve">nsentimiento del titular del derecho o derechos que emanen de tal acto. Por el </w:t>
      </w:r>
      <w:smartTag w:uri="urn:schemas-microsoft-com:office:smarttags" w:element="PersonName">
        <w:r w:rsidR="00BA181E" w:rsidRPr="00BA181E">
          <w:rPr>
            <w:rStyle w:val="FontStyle65"/>
            <w:rFonts w:asciiTheme="minorHAnsi" w:hAnsiTheme="minorHAnsi" w:cstheme="minorHAnsi"/>
            <w:i/>
            <w:lang w:val="es-ES_tradnl" w:eastAsia="es-ES_tradnl"/>
          </w:rPr>
          <w:t>co</w:t>
        </w:r>
      </w:smartTag>
      <w:r w:rsidR="00BA181E" w:rsidRPr="00BA181E">
        <w:rPr>
          <w:rStyle w:val="FontStyle65"/>
          <w:rFonts w:asciiTheme="minorHAnsi" w:hAnsiTheme="minorHAnsi" w:cstheme="minorHAnsi"/>
          <w:i/>
          <w:lang w:val="es-ES_tradnl" w:eastAsia="es-ES_tradnl"/>
        </w:rPr>
        <w:t xml:space="preserve">ntrario, cabe suponer que </w:t>
      </w:r>
      <w:smartTag w:uri="urn:schemas-microsoft-com:office:smarttags" w:element="PersonName">
        <w:r w:rsidR="00BA181E" w:rsidRPr="00BA181E">
          <w:rPr>
            <w:rStyle w:val="FontStyle65"/>
            <w:rFonts w:asciiTheme="minorHAnsi" w:hAnsiTheme="minorHAnsi" w:cstheme="minorHAnsi"/>
            <w:i/>
            <w:lang w:val="es-ES_tradnl" w:eastAsia="es-ES_tradnl"/>
          </w:rPr>
          <w:t>co</w:t>
        </w:r>
      </w:smartTag>
      <w:r w:rsidR="00BA181E" w:rsidRPr="00BA181E">
        <w:rPr>
          <w:rStyle w:val="FontStyle65"/>
          <w:rFonts w:asciiTheme="minorHAnsi" w:hAnsiTheme="minorHAnsi" w:cstheme="minorHAnsi"/>
          <w:i/>
          <w:lang w:val="es-ES_tradnl" w:eastAsia="es-ES_tradnl"/>
        </w:rPr>
        <w:t xml:space="preserve">nviene tanto al interés </w:t>
      </w:r>
      <w:r w:rsidR="00BA181E" w:rsidRPr="00BA181E">
        <w:rPr>
          <w:rStyle w:val="FontStyle65"/>
          <w:rFonts w:asciiTheme="minorHAnsi" w:hAnsiTheme="minorHAnsi" w:cstheme="minorHAnsi"/>
          <w:i/>
          <w:lang w:val="es-ES_tradnl" w:eastAsia="es-ES_tradnl"/>
        </w:rPr>
        <w:lastRenderedPageBreak/>
        <w:t>públi</w:t>
      </w:r>
      <w:smartTag w:uri="urn:schemas-microsoft-com:office:smarttags" w:element="PersonName">
        <w:r w:rsidR="00BA181E" w:rsidRPr="00BA181E">
          <w:rPr>
            <w:rStyle w:val="FontStyle65"/>
            <w:rFonts w:asciiTheme="minorHAnsi" w:hAnsiTheme="minorHAnsi" w:cstheme="minorHAnsi"/>
            <w:i/>
            <w:lang w:val="es-ES_tradnl" w:eastAsia="es-ES_tradnl"/>
          </w:rPr>
          <w:t>co</w:t>
        </w:r>
      </w:smartTag>
      <w:r w:rsidR="00BA181E" w:rsidRPr="00BA181E">
        <w:rPr>
          <w:rStyle w:val="FontStyle65"/>
          <w:rFonts w:asciiTheme="minorHAnsi" w:hAnsiTheme="minorHAnsi" w:cstheme="minorHAnsi"/>
          <w:i/>
          <w:lang w:val="es-ES_tradnl" w:eastAsia="es-ES_tradnl"/>
        </w:rPr>
        <w:t xml:space="preserve"> </w:t>
      </w:r>
      <w:smartTag w:uri="urn:schemas-microsoft-com:office:smarttags" w:element="PersonName">
        <w:r w:rsidR="00BA181E" w:rsidRPr="00BA181E">
          <w:rPr>
            <w:rStyle w:val="FontStyle65"/>
            <w:rFonts w:asciiTheme="minorHAnsi" w:hAnsiTheme="minorHAnsi" w:cstheme="minorHAnsi"/>
            <w:i/>
            <w:lang w:val="es-ES_tradnl" w:eastAsia="es-ES_tradnl"/>
          </w:rPr>
          <w:t>co</w:t>
        </w:r>
      </w:smartTag>
      <w:r w:rsidR="00BA181E" w:rsidRPr="00BA181E">
        <w:rPr>
          <w:rStyle w:val="FontStyle65"/>
          <w:rFonts w:asciiTheme="minorHAnsi" w:hAnsiTheme="minorHAnsi" w:cstheme="minorHAnsi"/>
          <w:i/>
          <w:lang w:val="es-ES_tradnl" w:eastAsia="es-ES_tradnl"/>
        </w:rPr>
        <w:t xml:space="preserve">mo al interés particular que se aclare lo que ofrezca dudas para asegurar así la plena eficacia del acto, la cabal satisfacción del interés general y el mayor grado de certeza de las situaciones judiciales individuales que se hubieren creado o </w:t>
      </w:r>
      <w:smartTag w:uri="urn:schemas-microsoft-com:office:smarttags" w:element="PersonName">
        <w:r w:rsidR="00BA181E" w:rsidRPr="00BA181E">
          <w:rPr>
            <w:rStyle w:val="FontStyle65"/>
            <w:rFonts w:asciiTheme="minorHAnsi" w:hAnsiTheme="minorHAnsi" w:cstheme="minorHAnsi"/>
            <w:i/>
            <w:lang w:val="es-ES_tradnl" w:eastAsia="es-ES_tradnl"/>
          </w:rPr>
          <w:t>co</w:t>
        </w:r>
      </w:smartTag>
      <w:r w:rsidR="00BA181E" w:rsidRPr="00BA181E">
        <w:rPr>
          <w:rStyle w:val="FontStyle65"/>
          <w:rFonts w:asciiTheme="minorHAnsi" w:hAnsiTheme="minorHAnsi" w:cstheme="minorHAnsi"/>
          <w:i/>
          <w:lang w:val="es-ES_tradnl" w:eastAsia="es-ES_tradnl"/>
        </w:rPr>
        <w:t>nstituido.</w:t>
      </w:r>
      <w:r w:rsidR="00BA181E">
        <w:rPr>
          <w:rStyle w:val="FontStyle65"/>
          <w:rFonts w:asciiTheme="minorHAnsi" w:hAnsiTheme="minorHAnsi" w:cstheme="minorHAnsi"/>
          <w:i/>
          <w:lang w:val="es-ES_tradnl" w:eastAsia="es-ES_tradnl"/>
        </w:rPr>
        <w:t xml:space="preserve">(…) </w:t>
      </w:r>
      <w:r w:rsidR="00F51E99" w:rsidRPr="007122CB">
        <w:rPr>
          <w:i/>
          <w:lang w:val="es-MX" w:eastAsia="en-US" w:bidi="en-US"/>
        </w:rPr>
        <w:t>Pese a la radical diferencia de naturaleza entre la sentencia y el acto administrativo vale la pena re</w:t>
      </w:r>
      <w:r w:rsidR="00F51E99" w:rsidRPr="007122CB">
        <w:rPr>
          <w:i/>
          <w:lang w:val="es-MX" w:eastAsia="en-US"/>
        </w:rPr>
        <w:t>cordar lo prescrito en el artículo 310 del C. de P. C. que permite corregir errores aún en las providencias judiciales, de oficio y en cualquier tiempo; si ello es posible en las sentencias ejecutoria</w:t>
      </w:r>
      <w:r w:rsidR="00F51E99" w:rsidRPr="007122CB">
        <w:rPr>
          <w:i/>
          <w:lang w:val="es-MX" w:eastAsia="en-US"/>
        </w:rPr>
        <w:softHyphen/>
        <w:t>das con cuánta mayor razón ha de ser factible la aclaración de los actos administrativos</w:t>
      </w:r>
      <w:r w:rsidR="00F51E99" w:rsidRPr="00F51E99">
        <w:rPr>
          <w:i/>
          <w:lang w:val="es-MX" w:eastAsia="en-US"/>
        </w:rPr>
        <w:t>.”</w:t>
      </w:r>
      <w:r w:rsidR="00F51E99" w:rsidRPr="00F51E99">
        <w:rPr>
          <w:rStyle w:val="Refdenotaalpie"/>
          <w:i/>
          <w:lang w:val="es-MX" w:eastAsia="en-US" w:bidi="en-US"/>
        </w:rPr>
        <w:footnoteReference w:id="6"/>
      </w:r>
      <w:r w:rsidR="00F51E99" w:rsidRPr="00F51E99">
        <w:rPr>
          <w:lang w:val="es-MX" w:eastAsia="en-US"/>
        </w:rPr>
        <w:t xml:space="preserve">; </w:t>
      </w:r>
      <w:r w:rsidR="00F51E99" w:rsidRPr="007122CB">
        <w:rPr>
          <w:lang w:val="es-MX" w:eastAsia="en-US"/>
        </w:rPr>
        <w:t>de manera que le asiste facultad a la Administración para aclarar una norma que da lugar a dudas en su aplicación</w:t>
      </w:r>
      <w:r w:rsidR="00F51E99" w:rsidRPr="00F51E99">
        <w:rPr>
          <w:lang w:val="es-MX" w:eastAsia="en-US"/>
        </w:rPr>
        <w:t xml:space="preserve">. </w:t>
      </w:r>
    </w:p>
    <w:p w:rsidR="00F51E99" w:rsidRDefault="00F51E99" w:rsidP="00C5090C">
      <w:pPr>
        <w:spacing w:after="0" w:line="240" w:lineRule="auto"/>
        <w:jc w:val="both"/>
        <w:rPr>
          <w:lang w:val="es-MX"/>
        </w:rPr>
      </w:pPr>
    </w:p>
    <w:p w:rsidR="0073452C" w:rsidRDefault="0073452C" w:rsidP="00B17EEC">
      <w:pPr>
        <w:pStyle w:val="Sinespaciado"/>
        <w:jc w:val="both"/>
        <w:rPr>
          <w:lang w:val="es-MX"/>
        </w:rPr>
      </w:pPr>
      <w:r>
        <w:rPr>
          <w:lang w:val="es-MX"/>
        </w:rPr>
        <w:t>Incluso, la jurisprudencia y la doctrina en general son unánimes en afirmar el derecho que le asiste a la Administración de aclarar sus propios actos administrativos, dado que los errores aritméticos y materiales de los actos administrativos no son fuente de derecho</w:t>
      </w:r>
      <w:r>
        <w:rPr>
          <w:rStyle w:val="Refdenotaalpie"/>
          <w:lang w:val="es-MX"/>
        </w:rPr>
        <w:footnoteReference w:id="7"/>
      </w:r>
      <w:r>
        <w:rPr>
          <w:lang w:val="es-MX"/>
        </w:rPr>
        <w:t>.</w:t>
      </w:r>
    </w:p>
    <w:p w:rsidR="00B17EEC" w:rsidRDefault="00B17EEC" w:rsidP="00B17EEC">
      <w:pPr>
        <w:pStyle w:val="Sinespaciado"/>
        <w:jc w:val="both"/>
        <w:rPr>
          <w:lang w:val="es-MX"/>
        </w:rPr>
      </w:pPr>
    </w:p>
    <w:p w:rsidR="009E2364" w:rsidRDefault="00892089" w:rsidP="00C5090C">
      <w:pPr>
        <w:spacing w:after="0" w:line="240" w:lineRule="auto"/>
        <w:jc w:val="both"/>
        <w:rPr>
          <w:lang w:val="es-MX"/>
        </w:rPr>
      </w:pPr>
      <w:r>
        <w:rPr>
          <w:lang w:val="es-MX"/>
        </w:rPr>
        <w:t>Así las cosas</w:t>
      </w:r>
      <w:r w:rsidR="00EF202A">
        <w:rPr>
          <w:lang w:val="es-MX"/>
        </w:rPr>
        <w:t>,</w:t>
      </w:r>
      <w:r>
        <w:rPr>
          <w:lang w:val="es-MX"/>
        </w:rPr>
        <w:t xml:space="preserve"> es preciso indicar que el redondeo del factor de actualización a cuatro decimales</w:t>
      </w:r>
      <w:r w:rsidR="00E35738">
        <w:rPr>
          <w:lang w:val="es-MX"/>
        </w:rPr>
        <w:t xml:space="preserve"> no comporta un</w:t>
      </w:r>
      <w:r w:rsidR="005E629D">
        <w:rPr>
          <w:lang w:val="es-MX"/>
        </w:rPr>
        <w:t xml:space="preserve"> cambio sustancial del contenido de la Resolución </w:t>
      </w:r>
      <w:r w:rsidR="00EF202A">
        <w:rPr>
          <w:lang w:val="es-MX"/>
        </w:rPr>
        <w:t>CRA 543 de 2011</w:t>
      </w:r>
      <w:r w:rsidR="00FD3591">
        <w:rPr>
          <w:lang w:val="es-MX"/>
        </w:rPr>
        <w:t>, toda vez que si a través de dicho acto se establec</w:t>
      </w:r>
      <w:r w:rsidR="00CE5F67">
        <w:rPr>
          <w:lang w:val="es-MX"/>
        </w:rPr>
        <w:t>ió</w:t>
      </w:r>
      <w:r w:rsidR="00FD3591">
        <w:rPr>
          <w:lang w:val="es-MX"/>
        </w:rPr>
        <w:t xml:space="preserve"> la metodología</w:t>
      </w:r>
      <w:r w:rsidR="00EF202A">
        <w:rPr>
          <w:lang w:val="es-MX"/>
        </w:rPr>
        <w:t xml:space="preserve"> </w:t>
      </w:r>
      <w:r w:rsidR="00FD3591">
        <w:rPr>
          <w:lang w:val="es-MX"/>
        </w:rPr>
        <w:t xml:space="preserve">para la actualización de tarifas de los servicios públicos de acueducto y alcantarillado, sus actividades complementarias y las actividades que realizan los prestadores de los mismos, en los términos de la Ley 142 de 1994, la aclaración no supone un cambio en </w:t>
      </w:r>
      <w:r w:rsidR="004800C7">
        <w:rPr>
          <w:lang w:val="es-MX"/>
        </w:rPr>
        <w:t xml:space="preserve">los elementos de </w:t>
      </w:r>
      <w:r w:rsidR="00FD3591">
        <w:rPr>
          <w:lang w:val="es-MX"/>
        </w:rPr>
        <w:t>la fórmula de actualizaci</w:t>
      </w:r>
      <w:r w:rsidR="00275360">
        <w:rPr>
          <w:lang w:val="es-MX"/>
        </w:rPr>
        <w:t>ón ni en la metodología a aplicar.</w:t>
      </w:r>
    </w:p>
    <w:p w:rsidR="009E2364" w:rsidRDefault="00892089" w:rsidP="00892089">
      <w:pPr>
        <w:tabs>
          <w:tab w:val="left" w:pos="5798"/>
        </w:tabs>
        <w:spacing w:after="0" w:line="240" w:lineRule="auto"/>
        <w:jc w:val="both"/>
        <w:rPr>
          <w:lang w:val="es-MX"/>
        </w:rPr>
      </w:pPr>
      <w:r>
        <w:rPr>
          <w:lang w:val="es-MX"/>
        </w:rPr>
        <w:tab/>
      </w:r>
    </w:p>
    <w:p w:rsidR="00C5090C" w:rsidRDefault="007122CB" w:rsidP="00C5090C">
      <w:pPr>
        <w:spacing w:after="0" w:line="240" w:lineRule="auto"/>
        <w:jc w:val="both"/>
      </w:pPr>
      <w:r>
        <w:rPr>
          <w:lang w:val="es-MX"/>
        </w:rPr>
        <w:t>Bajo este escenario</w:t>
      </w:r>
      <w:r w:rsidR="009D25A4">
        <w:rPr>
          <w:lang w:val="es-MX"/>
        </w:rPr>
        <w:t xml:space="preserve">, se hace entonces </w:t>
      </w:r>
      <w:r w:rsidR="00C5090C">
        <w:rPr>
          <w:lang w:val="es-MX"/>
        </w:rPr>
        <w:t xml:space="preserve">necesario </w:t>
      </w:r>
      <w:r w:rsidR="00C5090C" w:rsidRPr="007122CB">
        <w:rPr>
          <w:b/>
          <w:lang w:val="es-MX"/>
        </w:rPr>
        <w:t>aclarar</w:t>
      </w:r>
      <w:r w:rsidR="00C5090C">
        <w:rPr>
          <w:lang w:val="es-MX"/>
        </w:rPr>
        <w:t xml:space="preserve"> la imprecisión consignada en el parágrafo del artículo 5 de la mencionada resolución, al momento de señalar la expresión </w:t>
      </w:r>
      <w:r w:rsidR="00C5090C" w:rsidRPr="00B55A7D">
        <w:rPr>
          <w:i/>
          <w:lang w:val="es-MX"/>
        </w:rPr>
        <w:t>“a dos decimales”</w:t>
      </w:r>
      <w:r w:rsidR="00C5090C">
        <w:rPr>
          <w:lang w:val="es-MX"/>
        </w:rPr>
        <w:t xml:space="preserve">; como quiera que el número relacionado con el redondeo de los decimales conforme a los cuales debe ser estimado el factor de actualización, debe hacerse a cuatro dígitos, teniendo en cuenta que al estar </w:t>
      </w:r>
      <w:r w:rsidR="00C5090C">
        <w:t>la variación porcentual del IPC implícita en el factor de actualización IPC (</w:t>
      </w:r>
      <w:proofErr w:type="spellStart"/>
      <w:r w:rsidR="00C5090C">
        <w:t>FAipc</w:t>
      </w:r>
      <w:proofErr w:type="spellEnd"/>
      <w:r w:rsidR="00C5090C">
        <w:t>), es expresada en términos numéricos y no porcentuales.</w:t>
      </w:r>
    </w:p>
    <w:p w:rsidR="00D23723" w:rsidRDefault="00D23723" w:rsidP="00C5090C">
      <w:pPr>
        <w:spacing w:after="0" w:line="240" w:lineRule="auto"/>
        <w:jc w:val="both"/>
      </w:pPr>
    </w:p>
    <w:p w:rsidR="00C5090C" w:rsidRDefault="00C5090C" w:rsidP="00C5090C">
      <w:pPr>
        <w:spacing w:after="0" w:line="240" w:lineRule="auto"/>
        <w:jc w:val="both"/>
        <w:rPr>
          <w:lang w:val="es-MX"/>
        </w:rPr>
      </w:pPr>
      <w:r>
        <w:rPr>
          <w:lang w:val="es-MX"/>
        </w:rPr>
        <w:t>Ahora, relevante se hace determinar si resulta aplicable o no el procedimiento dispuesto en el D</w:t>
      </w:r>
      <w:r w:rsidRPr="00BC1246">
        <w:rPr>
          <w:lang w:val="es-MX"/>
        </w:rPr>
        <w:t xml:space="preserve">ecreto 2696 de </w:t>
      </w:r>
      <w:r w:rsidRPr="00B92CCA">
        <w:rPr>
          <w:lang w:val="es-MX"/>
        </w:rPr>
        <w:t xml:space="preserve">2004 </w:t>
      </w:r>
      <w:r w:rsidRPr="006D7464">
        <w:rPr>
          <w:i/>
          <w:lang w:val="es-MX"/>
        </w:rPr>
        <w:t>“</w:t>
      </w:r>
      <w:r>
        <w:rPr>
          <w:i/>
          <w:lang w:val="es-MX"/>
        </w:rPr>
        <w:t>P</w:t>
      </w:r>
      <w:r w:rsidRPr="006D7464">
        <w:rPr>
          <w:i/>
          <w:lang w:val="es-MX"/>
        </w:rPr>
        <w:t>or el cual se definen la reglas mínimas para garantizar la divulgación y la participación en las actuaciones de las Comisiones de Regulación”</w:t>
      </w:r>
      <w:r w:rsidRPr="00B92CCA">
        <w:rPr>
          <w:lang w:val="es-MX"/>
        </w:rPr>
        <w:t>.</w:t>
      </w:r>
    </w:p>
    <w:p w:rsidR="009B4607" w:rsidRPr="00B92CCA" w:rsidRDefault="009B4607" w:rsidP="00C5090C">
      <w:pPr>
        <w:spacing w:after="0" w:line="240" w:lineRule="auto"/>
        <w:jc w:val="both"/>
        <w:rPr>
          <w:lang w:val="es-MX"/>
        </w:rPr>
      </w:pPr>
    </w:p>
    <w:p w:rsidR="00C5090C" w:rsidRPr="00B92CCA" w:rsidRDefault="00C5090C" w:rsidP="00C5090C">
      <w:pPr>
        <w:spacing w:after="0" w:line="240" w:lineRule="auto"/>
        <w:rPr>
          <w:lang w:val="es-MX"/>
        </w:rPr>
      </w:pPr>
      <w:r w:rsidRPr="00B92CCA">
        <w:rPr>
          <w:lang w:val="es-MX"/>
        </w:rPr>
        <w:t>Señala el artículo 8 del mencionado Decreto, lo siguiente:</w:t>
      </w:r>
    </w:p>
    <w:p w:rsidR="00C5090C" w:rsidRDefault="00C5090C" w:rsidP="00C5090C">
      <w:pPr>
        <w:pStyle w:val="Prrafodelista"/>
        <w:spacing w:after="0" w:line="240" w:lineRule="auto"/>
        <w:ind w:left="851"/>
        <w:rPr>
          <w:i/>
          <w:lang w:val="es-MX"/>
        </w:rPr>
      </w:pPr>
    </w:p>
    <w:p w:rsidR="00C5090C" w:rsidRPr="000D086A" w:rsidRDefault="00C5090C" w:rsidP="00C5090C">
      <w:pPr>
        <w:pStyle w:val="Prrafodelista"/>
        <w:spacing w:after="0" w:line="240" w:lineRule="auto"/>
        <w:ind w:left="851"/>
        <w:rPr>
          <w:i/>
          <w:lang w:val="es-MX"/>
        </w:rPr>
      </w:pPr>
      <w:r w:rsidRPr="000D086A">
        <w:rPr>
          <w:i/>
          <w:lang w:val="es-MX"/>
        </w:rPr>
        <w:t>“Artículo 8°. Elaboración, expedición y vigencia de resoluciones de carácter general. Para expedir resoluciones de carácter general, las Comisiones harán los análisis técnicos, económicos y legales pertinentes.</w:t>
      </w:r>
    </w:p>
    <w:p w:rsidR="00C5090C" w:rsidRPr="000D086A" w:rsidRDefault="00C5090C" w:rsidP="00C5090C">
      <w:pPr>
        <w:pStyle w:val="Prrafodelista"/>
        <w:spacing w:after="0" w:line="240" w:lineRule="auto"/>
        <w:ind w:left="851"/>
        <w:rPr>
          <w:i/>
          <w:lang w:val="es-MX"/>
        </w:rPr>
      </w:pPr>
    </w:p>
    <w:p w:rsidR="00C5090C" w:rsidRPr="000D086A" w:rsidRDefault="00C5090C" w:rsidP="00C5090C">
      <w:pPr>
        <w:pStyle w:val="Prrafodelista"/>
        <w:spacing w:after="0" w:line="240" w:lineRule="auto"/>
        <w:ind w:left="851"/>
        <w:rPr>
          <w:i/>
          <w:lang w:val="es-MX"/>
        </w:rPr>
      </w:pPr>
      <w:r w:rsidRPr="000D086A">
        <w:rPr>
          <w:i/>
          <w:lang w:val="es-MX"/>
        </w:rPr>
        <w:t>Se deberán conservar, junto con la decisión o propuesta, cuantos datos y documentos ofrezcan interés para conocer el proceso de elaboración de la norma o que puedan facilitar su interpretación.</w:t>
      </w:r>
    </w:p>
    <w:p w:rsidR="00C5090C" w:rsidRPr="000D086A" w:rsidRDefault="00C5090C" w:rsidP="00C5090C">
      <w:pPr>
        <w:pStyle w:val="Prrafodelista"/>
        <w:spacing w:after="0" w:line="240" w:lineRule="auto"/>
        <w:ind w:left="851"/>
        <w:rPr>
          <w:i/>
          <w:lang w:val="es-MX"/>
        </w:rPr>
      </w:pPr>
    </w:p>
    <w:p w:rsidR="00C5090C" w:rsidRPr="000D086A" w:rsidRDefault="00C5090C" w:rsidP="00C5090C">
      <w:pPr>
        <w:pStyle w:val="Prrafodelista"/>
        <w:spacing w:after="0" w:line="240" w:lineRule="auto"/>
        <w:ind w:left="851"/>
        <w:rPr>
          <w:i/>
          <w:lang w:val="es-MX"/>
        </w:rPr>
      </w:pPr>
      <w:r w:rsidRPr="000D086A">
        <w:rPr>
          <w:i/>
          <w:lang w:val="es-MX"/>
        </w:rPr>
        <w:t xml:space="preserve">Artículo 9°. Publicidad de proyectos de regulaciones. Las Comisiones harán público en su página Web, con antelación no inferior a treinta (30) días a la fecha de su expedición, todos los proyectos de resoluciones de carácter general que pretendan adoptar, excepto los relativos a fórmulas tarifarias, en </w:t>
      </w:r>
      <w:r w:rsidRPr="000D086A">
        <w:rPr>
          <w:i/>
          <w:lang w:val="es-MX"/>
        </w:rPr>
        <w:lastRenderedPageBreak/>
        <w:t xml:space="preserve">cuyo caso se seguirá el procedimiento previsto en los artículos </w:t>
      </w:r>
      <w:smartTag w:uri="urn:schemas-microsoft-com:office:smarttags" w:element="metricconverter">
        <w:smartTagPr>
          <w:attr w:name="ProductID" w:val="124 a"/>
        </w:smartTagPr>
        <w:r w:rsidRPr="000D086A">
          <w:rPr>
            <w:i/>
            <w:lang w:val="es-MX"/>
          </w:rPr>
          <w:t>124 a</w:t>
        </w:r>
      </w:smartTag>
      <w:r w:rsidRPr="000D086A">
        <w:rPr>
          <w:i/>
          <w:lang w:val="es-MX"/>
        </w:rPr>
        <w:t xml:space="preserve"> 127 de la Ley 142 de 1994, reglamentado en el artículo 11 del presente decreto.</w:t>
      </w:r>
    </w:p>
    <w:p w:rsidR="00C5090C" w:rsidRPr="000D086A" w:rsidRDefault="00C5090C" w:rsidP="00C5090C">
      <w:pPr>
        <w:pStyle w:val="Prrafodelista"/>
        <w:spacing w:after="0" w:line="240" w:lineRule="auto"/>
        <w:ind w:left="851"/>
        <w:rPr>
          <w:i/>
          <w:lang w:val="es-MX"/>
        </w:rPr>
      </w:pPr>
    </w:p>
    <w:p w:rsidR="00C5090C" w:rsidRPr="000D086A" w:rsidRDefault="00C5090C" w:rsidP="00C5090C">
      <w:pPr>
        <w:pStyle w:val="Prrafodelista"/>
        <w:spacing w:after="0" w:line="240" w:lineRule="auto"/>
        <w:ind w:left="851"/>
        <w:rPr>
          <w:i/>
          <w:lang w:val="es-MX"/>
        </w:rPr>
      </w:pPr>
      <w:r w:rsidRPr="000D086A">
        <w:rPr>
          <w:i/>
          <w:lang w:val="es-MX"/>
        </w:rPr>
        <w:t>Parágrafo. Cada Comisión definirá y hará públicos los criterios, así como los casos en los cuales las disposiciones contenidas en el presente artículo no serán aplicables a resoluciones de carácter general”.</w:t>
      </w:r>
    </w:p>
    <w:p w:rsidR="00C5090C" w:rsidRDefault="00C5090C" w:rsidP="00C5090C">
      <w:pPr>
        <w:spacing w:after="0" w:line="240" w:lineRule="auto"/>
        <w:jc w:val="both"/>
        <w:rPr>
          <w:lang w:val="es-MX"/>
        </w:rPr>
      </w:pPr>
    </w:p>
    <w:p w:rsidR="00C5090C" w:rsidRPr="00B92CCA" w:rsidRDefault="00C5090C" w:rsidP="00C5090C">
      <w:pPr>
        <w:spacing w:after="0" w:line="240" w:lineRule="auto"/>
        <w:jc w:val="both"/>
        <w:rPr>
          <w:lang w:val="es-MX"/>
        </w:rPr>
      </w:pPr>
      <w:r w:rsidRPr="00B92CCA">
        <w:rPr>
          <w:lang w:val="es-MX"/>
        </w:rPr>
        <w:t xml:space="preserve">En consideración </w:t>
      </w:r>
      <w:r w:rsidR="00CB0ACA">
        <w:rPr>
          <w:lang w:val="es-MX"/>
        </w:rPr>
        <w:t>con</w:t>
      </w:r>
      <w:r w:rsidRPr="00B92CCA">
        <w:rPr>
          <w:lang w:val="es-MX"/>
        </w:rPr>
        <w:t xml:space="preserve"> lo anterior, para la elaboración, expedición y vigencia de las resoluciones de carácter general, las Comisiones deben publicar todos sus proyectos de resolución, salvo los relativos a fórmulas tarifarias.</w:t>
      </w:r>
    </w:p>
    <w:p w:rsidR="00C5090C" w:rsidRDefault="00C5090C" w:rsidP="00C5090C">
      <w:pPr>
        <w:spacing w:after="0" w:line="240" w:lineRule="auto"/>
        <w:jc w:val="both"/>
        <w:rPr>
          <w:lang w:val="es-MX"/>
        </w:rPr>
      </w:pPr>
    </w:p>
    <w:p w:rsidR="00C5090C" w:rsidRPr="00B92CCA" w:rsidRDefault="00C5090C" w:rsidP="00C5090C">
      <w:pPr>
        <w:spacing w:after="0" w:line="240" w:lineRule="auto"/>
        <w:jc w:val="both"/>
        <w:rPr>
          <w:lang w:val="es-MX"/>
        </w:rPr>
      </w:pPr>
      <w:r w:rsidRPr="00B92CCA">
        <w:rPr>
          <w:lang w:val="es-MX"/>
        </w:rPr>
        <w:t xml:space="preserve">No obstante, la Resolución CRA 475 de 2009 </w:t>
      </w:r>
      <w:r w:rsidRPr="000D086A">
        <w:rPr>
          <w:i/>
          <w:lang w:val="es-MX"/>
        </w:rPr>
        <w:t>“Por la cual se definen los criterios, así como los casos en que se exceptúan del procedimiento contenido en el Artículo 9 del Decreto 2696 de 2004”</w:t>
      </w:r>
      <w:r w:rsidRPr="00B92CCA">
        <w:rPr>
          <w:lang w:val="es-MX"/>
        </w:rPr>
        <w:t xml:space="preserve">, en virtud de la facultad concedida a las Comisiones de Regulación para determinar los casos en que no sería aplicable el trámite de participación ciudadana, según lo dispuesto en el parágrafo del artículo 9 del Decreto 2696 de 2004, estableció como excepciones al mencionado procedimiento, las siguientes:  </w:t>
      </w:r>
    </w:p>
    <w:p w:rsidR="00C5090C" w:rsidRDefault="00C5090C" w:rsidP="00C5090C">
      <w:pPr>
        <w:autoSpaceDE w:val="0"/>
        <w:autoSpaceDN w:val="0"/>
        <w:adjustRightInd w:val="0"/>
        <w:spacing w:after="0" w:line="240" w:lineRule="auto"/>
        <w:ind w:left="851"/>
        <w:jc w:val="both"/>
        <w:rPr>
          <w:i/>
          <w:lang w:val="es-MX"/>
        </w:rPr>
      </w:pPr>
    </w:p>
    <w:p w:rsidR="00C5090C" w:rsidRPr="000D086A" w:rsidRDefault="00C5090C" w:rsidP="00C5090C">
      <w:pPr>
        <w:autoSpaceDE w:val="0"/>
        <w:autoSpaceDN w:val="0"/>
        <w:adjustRightInd w:val="0"/>
        <w:spacing w:after="0" w:line="240" w:lineRule="auto"/>
        <w:ind w:left="851"/>
        <w:jc w:val="both"/>
        <w:rPr>
          <w:i/>
          <w:lang w:val="es-MX"/>
        </w:rPr>
      </w:pPr>
      <w:r w:rsidRPr="000D086A">
        <w:rPr>
          <w:i/>
          <w:lang w:val="es-MX"/>
        </w:rPr>
        <w:t>“ARTÍCULO 1o. Establecer como excepciones al procedimiento contenido en el artículo 9o del Decreto 2696 de 2004, los proyectos de resolución de carácter general que regulen temas que se enmarquen en los siguientes casos y criterios:</w:t>
      </w:r>
    </w:p>
    <w:p w:rsidR="00C5090C" w:rsidRPr="000D086A" w:rsidRDefault="00C5090C" w:rsidP="00C5090C">
      <w:pPr>
        <w:autoSpaceDE w:val="0"/>
        <w:autoSpaceDN w:val="0"/>
        <w:adjustRightInd w:val="0"/>
        <w:spacing w:after="0" w:line="240" w:lineRule="auto"/>
        <w:ind w:left="851"/>
        <w:jc w:val="both"/>
        <w:rPr>
          <w:i/>
          <w:lang w:val="es-MX"/>
        </w:rPr>
      </w:pPr>
    </w:p>
    <w:p w:rsidR="00C5090C" w:rsidRPr="000D086A" w:rsidRDefault="00C5090C" w:rsidP="00C5090C">
      <w:pPr>
        <w:autoSpaceDE w:val="0"/>
        <w:autoSpaceDN w:val="0"/>
        <w:adjustRightInd w:val="0"/>
        <w:spacing w:after="0" w:line="240" w:lineRule="auto"/>
        <w:ind w:left="851"/>
        <w:jc w:val="both"/>
        <w:rPr>
          <w:i/>
          <w:lang w:val="es-MX"/>
        </w:rPr>
      </w:pPr>
      <w:r>
        <w:rPr>
          <w:i/>
          <w:lang w:val="es-MX"/>
        </w:rPr>
        <w:t>(…)</w:t>
      </w:r>
    </w:p>
    <w:p w:rsidR="00C5090C" w:rsidRPr="000D086A" w:rsidRDefault="00C5090C" w:rsidP="00C5090C">
      <w:pPr>
        <w:autoSpaceDE w:val="0"/>
        <w:autoSpaceDN w:val="0"/>
        <w:adjustRightInd w:val="0"/>
        <w:spacing w:after="0" w:line="240" w:lineRule="auto"/>
        <w:ind w:left="851"/>
        <w:rPr>
          <w:i/>
          <w:lang w:val="es-MX"/>
        </w:rPr>
      </w:pPr>
    </w:p>
    <w:p w:rsidR="00C5090C" w:rsidRPr="00B92CCA" w:rsidRDefault="00C5090C" w:rsidP="00C5090C">
      <w:pPr>
        <w:autoSpaceDE w:val="0"/>
        <w:autoSpaceDN w:val="0"/>
        <w:adjustRightInd w:val="0"/>
        <w:spacing w:after="0" w:line="240" w:lineRule="auto"/>
        <w:ind w:left="851"/>
        <w:rPr>
          <w:lang w:val="es-MX"/>
        </w:rPr>
      </w:pPr>
      <w:r w:rsidRPr="000D086A">
        <w:rPr>
          <w:i/>
          <w:lang w:val="es-MX"/>
        </w:rPr>
        <w:t>3. Los que tengan por finalidad corregir errores puramente aritméticos o tipográficos en que se haya incurrido al momento de su expedición.”</w:t>
      </w:r>
      <w:r w:rsidRPr="00B92CCA">
        <w:rPr>
          <w:lang w:val="es-MX"/>
        </w:rPr>
        <w:t>(Negrilla y resaltado fuera de texto).</w:t>
      </w:r>
    </w:p>
    <w:p w:rsidR="00C5090C" w:rsidRDefault="00C5090C" w:rsidP="00C5090C">
      <w:pPr>
        <w:spacing w:after="0" w:line="240" w:lineRule="auto"/>
        <w:rPr>
          <w:lang w:val="es-MX"/>
        </w:rPr>
      </w:pPr>
    </w:p>
    <w:p w:rsidR="00C5090C" w:rsidRPr="00B92CCA" w:rsidRDefault="00C5090C" w:rsidP="00C5090C">
      <w:pPr>
        <w:spacing w:after="0" w:line="240" w:lineRule="auto"/>
        <w:jc w:val="both"/>
        <w:rPr>
          <w:lang w:val="es-MX"/>
        </w:rPr>
      </w:pPr>
      <w:r>
        <w:rPr>
          <w:lang w:val="es-MX"/>
        </w:rPr>
        <w:t>En este contexto,</w:t>
      </w:r>
      <w:r w:rsidR="00F8212E">
        <w:rPr>
          <w:lang w:val="es-MX"/>
        </w:rPr>
        <w:t xml:space="preserve"> </w:t>
      </w:r>
      <w:r>
        <w:rPr>
          <w:lang w:val="es-MX"/>
        </w:rPr>
        <w:t xml:space="preserve">resulta claro que los proyectos de resolución que busquen corregir </w:t>
      </w:r>
      <w:r w:rsidRPr="003353AD">
        <w:rPr>
          <w:i/>
          <w:lang w:val="es-MX"/>
        </w:rPr>
        <w:t>“errores puramente aritméticos o tipográficos”</w:t>
      </w:r>
      <w:r>
        <w:rPr>
          <w:lang w:val="es-MX"/>
        </w:rPr>
        <w:t xml:space="preserve"> al momento de la expedición del acto, se constituyen como una excepción a la aplicación del procedimiento de participación ciudadana y, en consecuencia, no es necesario someterlos a las reglas mínimas del Decreto </w:t>
      </w:r>
      <w:r w:rsidRPr="00BC1246">
        <w:rPr>
          <w:lang w:val="es-MX"/>
        </w:rPr>
        <w:t xml:space="preserve">2696 de </w:t>
      </w:r>
      <w:r w:rsidRPr="00B92CCA">
        <w:rPr>
          <w:lang w:val="es-MX"/>
        </w:rPr>
        <w:t>2004</w:t>
      </w:r>
      <w:r>
        <w:rPr>
          <w:lang w:val="es-MX"/>
        </w:rPr>
        <w:t>.</w:t>
      </w:r>
      <w:r w:rsidRPr="00B92CCA">
        <w:rPr>
          <w:lang w:val="es-MX"/>
        </w:rPr>
        <w:t xml:space="preserve"> </w:t>
      </w:r>
      <w:r w:rsidR="005C2DE6">
        <w:rPr>
          <w:lang w:val="es-MX"/>
        </w:rPr>
        <w:t>En ese orden de idea</w:t>
      </w:r>
      <w:r w:rsidR="006E4C7E">
        <w:rPr>
          <w:lang w:val="es-MX"/>
        </w:rPr>
        <w:t>s</w:t>
      </w:r>
      <w:r w:rsidR="005C2DE6">
        <w:rPr>
          <w:lang w:val="es-MX"/>
        </w:rPr>
        <w:t xml:space="preserve">, la misma suerte corre el error de hecho que no incide en el sentido de la decisión, </w:t>
      </w:r>
      <w:r w:rsidR="00302E64">
        <w:rPr>
          <w:lang w:val="es-MX"/>
        </w:rPr>
        <w:t>contenido</w:t>
      </w:r>
      <w:r w:rsidR="005C2DE6">
        <w:rPr>
          <w:lang w:val="es-MX"/>
        </w:rPr>
        <w:t xml:space="preserve"> en el artículo 73 del C.C.A.</w:t>
      </w:r>
      <w:r>
        <w:rPr>
          <w:lang w:val="es-MX"/>
        </w:rPr>
        <w:t xml:space="preserve"> </w:t>
      </w:r>
    </w:p>
    <w:p w:rsidR="00C5090C" w:rsidRPr="005556C0" w:rsidRDefault="00C5090C" w:rsidP="00C5090C">
      <w:pPr>
        <w:spacing w:after="0" w:line="240" w:lineRule="auto"/>
        <w:rPr>
          <w:b/>
          <w:lang w:val="es-MX"/>
        </w:rPr>
      </w:pPr>
    </w:p>
    <w:p w:rsidR="00C5090C" w:rsidRPr="00C30907" w:rsidRDefault="00C5090C" w:rsidP="00C5090C">
      <w:pPr>
        <w:spacing w:after="0" w:line="240" w:lineRule="auto"/>
        <w:jc w:val="both"/>
        <w:rPr>
          <w:lang w:val="es-MX"/>
        </w:rPr>
      </w:pPr>
      <w:r>
        <w:rPr>
          <w:lang w:val="es-MX"/>
        </w:rPr>
        <w:t>C</w:t>
      </w:r>
      <w:r w:rsidRPr="00B92CCA">
        <w:rPr>
          <w:lang w:val="es-MX"/>
        </w:rPr>
        <w:t>on el propósito de</w:t>
      </w:r>
      <w:r>
        <w:rPr>
          <w:lang w:val="es-MX"/>
        </w:rPr>
        <w:t xml:space="preserve"> aclarar la imprecisión consignada al </w:t>
      </w:r>
      <w:r w:rsidRPr="00B92CCA">
        <w:rPr>
          <w:lang w:val="es-MX"/>
        </w:rPr>
        <w:t xml:space="preserve">incluir el número dos en la expresión </w:t>
      </w:r>
      <w:r w:rsidRPr="004A1A39">
        <w:rPr>
          <w:i/>
          <w:lang w:val="es-MX"/>
        </w:rPr>
        <w:t>“dos decimales”</w:t>
      </w:r>
      <w:r w:rsidRPr="00B92CCA">
        <w:rPr>
          <w:lang w:val="es-MX"/>
        </w:rPr>
        <w:t xml:space="preserve"> al hacer referencia al redondeo del factor de actualización obtenido </w:t>
      </w:r>
      <w:proofErr w:type="spellStart"/>
      <w:r w:rsidRPr="00B92CCA">
        <w:rPr>
          <w:lang w:val="es-MX"/>
        </w:rPr>
        <w:t>FAipc</w:t>
      </w:r>
      <w:proofErr w:type="spellEnd"/>
      <w:r w:rsidRPr="00B92CCA">
        <w:rPr>
          <w:lang w:val="es-MX"/>
        </w:rPr>
        <w:t xml:space="preserve"> de que trata el parágrafo del artículo 5 de la Resolución CRA 543 de 2011, cuando en realidad la cifra debe redondearse a cuatro dígitos</w:t>
      </w:r>
      <w:r w:rsidR="00E83203">
        <w:rPr>
          <w:lang w:val="es-MX"/>
        </w:rPr>
        <w:t xml:space="preserve"> y teniendo en cuenta que ello no comporta un cambio sustancial a la mencionada resolución,</w:t>
      </w:r>
      <w:r w:rsidRPr="00B92CCA">
        <w:rPr>
          <w:lang w:val="es-MX"/>
        </w:rPr>
        <w:t xml:space="preserve"> se propone la siguiente aclaración a través de acto administrativo</w:t>
      </w:r>
      <w:r>
        <w:rPr>
          <w:lang w:val="es-MX"/>
        </w:rPr>
        <w:t>, haciendo la salvedad que la expresión “</w:t>
      </w:r>
      <w:r w:rsidRPr="00C30907">
        <w:rPr>
          <w:i/>
          <w:lang w:val="es-MX"/>
        </w:rPr>
        <w:t>y las operaciones resultantes de la actualización de costos y tarifas serán redondeadas a dos decimales</w:t>
      </w:r>
      <w:r>
        <w:rPr>
          <w:i/>
          <w:lang w:val="es-MX"/>
        </w:rPr>
        <w:t xml:space="preserve">”, </w:t>
      </w:r>
      <w:r w:rsidRPr="00C30907">
        <w:rPr>
          <w:lang w:val="es-MX"/>
        </w:rPr>
        <w:t>aun cuando no coincide textual</w:t>
      </w:r>
      <w:r>
        <w:rPr>
          <w:lang w:val="es-MX"/>
        </w:rPr>
        <w:t xml:space="preserve"> y expresamente</w:t>
      </w:r>
      <w:r w:rsidRPr="00C30907">
        <w:rPr>
          <w:lang w:val="es-MX"/>
        </w:rPr>
        <w:t xml:space="preserve"> con la incluida en el señalado parágrafo, sí</w:t>
      </w:r>
      <w:r>
        <w:rPr>
          <w:lang w:val="es-MX"/>
        </w:rPr>
        <w:t xml:space="preserve"> obedece al criterio que determinó el artículo objeto de </w:t>
      </w:r>
      <w:r w:rsidR="00EF31F8">
        <w:rPr>
          <w:lang w:val="es-MX"/>
        </w:rPr>
        <w:t>aclaración</w:t>
      </w:r>
      <w:r>
        <w:rPr>
          <w:lang w:val="es-MX"/>
        </w:rPr>
        <w:t>:</w:t>
      </w:r>
    </w:p>
    <w:p w:rsidR="00C5090C" w:rsidRDefault="00C5090C" w:rsidP="00C5090C">
      <w:pPr>
        <w:pStyle w:val="ListParagraph1"/>
        <w:spacing w:after="0" w:line="240" w:lineRule="auto"/>
        <w:jc w:val="both"/>
        <w:rPr>
          <w:rFonts w:cs="Times New Roman"/>
          <w:i/>
          <w:szCs w:val="20"/>
          <w:lang w:val="es-MX" w:bidi="en-US"/>
        </w:rPr>
      </w:pPr>
    </w:p>
    <w:p w:rsidR="00C5090C" w:rsidRDefault="00C5090C" w:rsidP="00C5090C">
      <w:pPr>
        <w:pStyle w:val="ListParagraph1"/>
        <w:spacing w:after="0" w:line="240" w:lineRule="auto"/>
        <w:jc w:val="both"/>
        <w:rPr>
          <w:rFonts w:cs="Times New Roman"/>
          <w:i/>
          <w:szCs w:val="20"/>
          <w:lang w:val="es-MX" w:bidi="en-US"/>
        </w:rPr>
      </w:pPr>
      <w:r w:rsidRPr="00C5090C">
        <w:rPr>
          <w:rFonts w:cs="Times New Roman"/>
          <w:i/>
          <w:szCs w:val="20"/>
          <w:lang w:val="es-MX" w:bidi="en-US"/>
        </w:rPr>
        <w:t xml:space="preserve">“Parágrafo.- Para la estimación del factor de actualización, se utilizará el índice IPC expresado de acuerdo con la base definida por el DANE vigente al momento de expedición de la presente resolución, redondeado a la cantidad de decimales que dicha entidad publique de manera oficial. El factor de actualización obtenido </w:t>
      </w:r>
      <w:proofErr w:type="spellStart"/>
      <w:r w:rsidRPr="00C5090C">
        <w:rPr>
          <w:rFonts w:cs="Times New Roman"/>
          <w:i/>
          <w:szCs w:val="20"/>
          <w:lang w:val="es-MX" w:bidi="en-US"/>
        </w:rPr>
        <w:t>FAipc</w:t>
      </w:r>
      <w:proofErr w:type="spellEnd"/>
      <w:r w:rsidRPr="00C5090C">
        <w:rPr>
          <w:rFonts w:cs="Times New Roman"/>
          <w:i/>
          <w:szCs w:val="20"/>
          <w:lang w:val="es-MX" w:bidi="en-US"/>
        </w:rPr>
        <w:t>, deberá ser redondeado a cuatro decimales y las operaciones resultantes</w:t>
      </w:r>
      <w:r w:rsidR="0092738C">
        <w:rPr>
          <w:rFonts w:cs="Times New Roman"/>
          <w:i/>
          <w:szCs w:val="20"/>
          <w:lang w:val="es-MX" w:bidi="en-US"/>
        </w:rPr>
        <w:t xml:space="preserve"> de la fórmula de la actualización de costos por componente del artículo 3 de la presente resolución, serán </w:t>
      </w:r>
      <w:r w:rsidRPr="00C5090C">
        <w:rPr>
          <w:rFonts w:cs="Times New Roman"/>
          <w:i/>
          <w:szCs w:val="20"/>
          <w:lang w:val="es-MX" w:bidi="en-US"/>
        </w:rPr>
        <w:t>redondead</w:t>
      </w:r>
      <w:r w:rsidR="000F41CD">
        <w:rPr>
          <w:rFonts w:cs="Times New Roman"/>
          <w:i/>
          <w:szCs w:val="20"/>
          <w:lang w:val="es-MX" w:bidi="en-US"/>
        </w:rPr>
        <w:t>a</w:t>
      </w:r>
      <w:r w:rsidRPr="00C5090C">
        <w:rPr>
          <w:rFonts w:cs="Times New Roman"/>
          <w:i/>
          <w:szCs w:val="20"/>
          <w:lang w:val="es-MX" w:bidi="en-US"/>
        </w:rPr>
        <w:t>s a dos decimales.”</w:t>
      </w:r>
    </w:p>
    <w:p w:rsidR="00F74F43" w:rsidRDefault="00F74F43" w:rsidP="0091594F">
      <w:pPr>
        <w:pStyle w:val="ListParagraph1"/>
        <w:spacing w:after="0" w:line="240" w:lineRule="auto"/>
        <w:ind w:left="0"/>
        <w:jc w:val="both"/>
        <w:rPr>
          <w:rFonts w:cs="Times New Roman"/>
          <w:szCs w:val="20"/>
          <w:lang w:val="es-MX" w:bidi="en-US"/>
        </w:rPr>
      </w:pPr>
    </w:p>
    <w:p w:rsidR="007405B4" w:rsidRDefault="007405B4" w:rsidP="0091594F">
      <w:pPr>
        <w:pStyle w:val="ListParagraph1"/>
        <w:spacing w:after="0" w:line="240" w:lineRule="auto"/>
        <w:ind w:left="0"/>
        <w:jc w:val="both"/>
        <w:rPr>
          <w:rFonts w:cs="Times New Roman"/>
          <w:szCs w:val="20"/>
          <w:lang w:val="es-MX" w:bidi="en-US"/>
        </w:rPr>
      </w:pPr>
      <w:r>
        <w:rPr>
          <w:rFonts w:cs="Times New Roman"/>
          <w:szCs w:val="20"/>
          <w:lang w:val="es-MX" w:bidi="en-US"/>
        </w:rPr>
        <w:t>De otro lado, es importante destacar la viabilidad que tiene, paralelo a la aclaratoria de la Resolución, el impulso de una nueva metodología de actualización, en la que, además de indicar con claridad los decimales conform</w:t>
      </w:r>
      <w:r w:rsidR="002F3B1C">
        <w:rPr>
          <w:rFonts w:cs="Times New Roman"/>
          <w:szCs w:val="20"/>
          <w:lang w:val="es-MX" w:bidi="en-US"/>
        </w:rPr>
        <w:t>e</w:t>
      </w:r>
      <w:r>
        <w:rPr>
          <w:rFonts w:cs="Times New Roman"/>
          <w:szCs w:val="20"/>
          <w:lang w:val="es-MX" w:bidi="en-US"/>
        </w:rPr>
        <w:t xml:space="preserve"> a los cuales debe hacerse el redondeo del factor de actualización obtenido, se traten aspectos como:</w:t>
      </w:r>
    </w:p>
    <w:p w:rsidR="007405B4" w:rsidRDefault="007405B4" w:rsidP="0091594F">
      <w:pPr>
        <w:pStyle w:val="ListParagraph1"/>
        <w:spacing w:after="0" w:line="240" w:lineRule="auto"/>
        <w:ind w:left="0"/>
        <w:jc w:val="both"/>
        <w:rPr>
          <w:rFonts w:cs="Times New Roman"/>
          <w:szCs w:val="20"/>
          <w:lang w:val="es-MX" w:bidi="en-US"/>
        </w:rPr>
      </w:pPr>
    </w:p>
    <w:p w:rsidR="007405B4" w:rsidRDefault="007405B4" w:rsidP="007405B4">
      <w:pPr>
        <w:pStyle w:val="Sinespaciado"/>
        <w:numPr>
          <w:ilvl w:val="0"/>
          <w:numId w:val="10"/>
        </w:numPr>
        <w:jc w:val="both"/>
      </w:pPr>
      <w:r>
        <w:t>Ajuste a pesos del tiempo en que deben estar expresadas las cifras monetarias de los estudios de costos y tarifas</w:t>
      </w:r>
      <w:r w:rsidR="00307A0C">
        <w:t xml:space="preserve"> del nuevo marco tarifario de acueducto y alcantarillado</w:t>
      </w:r>
      <w:r>
        <w:t xml:space="preserve"> (fecha de referencia).</w:t>
      </w:r>
    </w:p>
    <w:p w:rsidR="007405B4" w:rsidRDefault="007405B4" w:rsidP="007405B4">
      <w:pPr>
        <w:pStyle w:val="Sinespaciado"/>
        <w:numPr>
          <w:ilvl w:val="0"/>
          <w:numId w:val="10"/>
        </w:numPr>
        <w:jc w:val="both"/>
      </w:pPr>
      <w:r>
        <w:t>Aclaración del procedimiento de ajuste de los costos y tarifas estimados de manera posterior a la entrada en vigencia de la Resolución CRA 543 de 2011.</w:t>
      </w:r>
    </w:p>
    <w:p w:rsidR="007405B4" w:rsidRDefault="007405B4" w:rsidP="007405B4">
      <w:pPr>
        <w:pStyle w:val="Sinespaciado"/>
        <w:numPr>
          <w:ilvl w:val="0"/>
          <w:numId w:val="10"/>
        </w:numPr>
        <w:jc w:val="both"/>
      </w:pPr>
      <w:r>
        <w:t>Estudio del artículo 7, donde se incluye las facturas, como medio de información de ajuste de tarifas por IPC.</w:t>
      </w:r>
    </w:p>
    <w:p w:rsidR="007405B4" w:rsidRDefault="007405B4" w:rsidP="007405B4">
      <w:pPr>
        <w:pStyle w:val="Sinespaciado"/>
        <w:numPr>
          <w:ilvl w:val="0"/>
          <w:numId w:val="10"/>
        </w:numPr>
        <w:jc w:val="both"/>
      </w:pPr>
      <w:r>
        <w:t>Ajustes de forma a considerandos de la Resolución (participación ciudadana y número de artículos citado en la Res 485 de 2009).</w:t>
      </w:r>
    </w:p>
    <w:p w:rsidR="007405B4" w:rsidRPr="007405B4" w:rsidRDefault="007405B4" w:rsidP="0091594F">
      <w:pPr>
        <w:pStyle w:val="ListParagraph1"/>
        <w:spacing w:after="0" w:line="240" w:lineRule="auto"/>
        <w:ind w:left="0"/>
        <w:jc w:val="both"/>
        <w:rPr>
          <w:rFonts w:cs="Times New Roman"/>
          <w:szCs w:val="20"/>
          <w:lang w:val="es-MX" w:bidi="en-US"/>
        </w:rPr>
      </w:pPr>
      <w:r>
        <w:rPr>
          <w:rFonts w:cs="Times New Roman"/>
          <w:szCs w:val="20"/>
          <w:lang w:val="es-MX" w:bidi="en-US"/>
        </w:rPr>
        <w:t xml:space="preserve"> </w:t>
      </w:r>
    </w:p>
    <w:p w:rsidR="000D181A" w:rsidRPr="00BF7D27" w:rsidRDefault="00AA7A4C" w:rsidP="00BF7D27">
      <w:pPr>
        <w:pStyle w:val="Ttulo1"/>
        <w:rPr>
          <w:lang w:val="es-MX"/>
        </w:rPr>
      </w:pPr>
      <w:bookmarkStart w:id="15" w:name="_Toc323042161"/>
      <w:r w:rsidRPr="00BF7D27">
        <w:rPr>
          <w:lang w:val="es-MX"/>
        </w:rPr>
        <w:t>IMPACTO</w:t>
      </w:r>
      <w:r w:rsidR="000D181A" w:rsidRPr="00BF7D27">
        <w:rPr>
          <w:lang w:val="es-MX"/>
        </w:rPr>
        <w:t>.</w:t>
      </w:r>
      <w:bookmarkEnd w:id="15"/>
    </w:p>
    <w:p w:rsidR="00D40866" w:rsidRDefault="00D40866" w:rsidP="0033562A">
      <w:pPr>
        <w:spacing w:after="0" w:line="240" w:lineRule="auto"/>
        <w:jc w:val="both"/>
        <w:rPr>
          <w:rFonts w:eastAsia="Times New Roman" w:cs="Arial"/>
          <w:lang w:eastAsia="es-ES"/>
        </w:rPr>
      </w:pPr>
    </w:p>
    <w:p w:rsidR="009F15BD" w:rsidRDefault="00C83715" w:rsidP="00BD20D8">
      <w:pPr>
        <w:spacing w:after="0" w:line="240" w:lineRule="auto"/>
        <w:jc w:val="both"/>
        <w:rPr>
          <w:rFonts w:eastAsia="Times New Roman" w:cs="Arial"/>
          <w:lang w:eastAsia="es-ES"/>
        </w:rPr>
      </w:pPr>
      <w:r>
        <w:rPr>
          <w:rFonts w:cs="Arial"/>
          <w:lang w:val="es-MX"/>
        </w:rPr>
        <w:t>N</w:t>
      </w:r>
      <w:r w:rsidR="00D40866">
        <w:rPr>
          <w:rFonts w:cs="Arial"/>
          <w:lang w:val="es-MX"/>
        </w:rPr>
        <w:t xml:space="preserve">o resulta </w:t>
      </w:r>
      <w:r w:rsidR="007F7D46">
        <w:rPr>
          <w:rFonts w:cs="Arial"/>
          <w:lang w:val="es-MX"/>
        </w:rPr>
        <w:t>posible</w:t>
      </w:r>
      <w:r w:rsidR="00D40866">
        <w:rPr>
          <w:rFonts w:cs="Arial"/>
          <w:lang w:val="es-MX"/>
        </w:rPr>
        <w:t xml:space="preserve"> estimar el impacto real de la acla</w:t>
      </w:r>
      <w:r>
        <w:rPr>
          <w:rFonts w:cs="Arial"/>
          <w:lang w:val="es-MX"/>
        </w:rPr>
        <w:t xml:space="preserve">ración mencionada, debido a que </w:t>
      </w:r>
      <w:r w:rsidR="005F76F0">
        <w:rPr>
          <w:rFonts w:cs="Arial"/>
          <w:lang w:val="es-MX"/>
        </w:rPr>
        <w:t>d</w:t>
      </w:r>
      <w:r w:rsidR="00BA5254">
        <w:rPr>
          <w:rFonts w:cs="Arial"/>
          <w:lang w:val="es-MX"/>
        </w:rPr>
        <w:t>e acuerdo a lo señalado en el artículo 125 de la ley 142 de 1994 “</w:t>
      </w:r>
      <w:r w:rsidR="00BA5254" w:rsidRPr="000237CB">
        <w:rPr>
          <w:i/>
        </w:rPr>
        <w:t xml:space="preserve">las empresas </w:t>
      </w:r>
      <w:r w:rsidR="00BA5254" w:rsidRPr="00ED2BA7">
        <w:rPr>
          <w:i/>
          <w:u w:val="single"/>
        </w:rPr>
        <w:t xml:space="preserve">podrán </w:t>
      </w:r>
      <w:r w:rsidR="00BA5254" w:rsidRPr="000237CB">
        <w:rPr>
          <w:i/>
        </w:rPr>
        <w:t>actualizar las tarifas que cobran a sus usuarios aplicando las variaciones en los índices de precios que las fórmulas contienen.</w:t>
      </w:r>
      <w:r w:rsidR="00BA5254" w:rsidRPr="001E694F" w:rsidDel="0077353E">
        <w:rPr>
          <w:rFonts w:cs="Arial"/>
          <w:lang w:val="es-MX"/>
        </w:rPr>
        <w:t xml:space="preserve"> </w:t>
      </w:r>
      <w:r w:rsidR="00494781">
        <w:rPr>
          <w:rFonts w:cs="Arial"/>
          <w:lang w:val="es-MX"/>
        </w:rPr>
        <w:t>En este sentido, teniendo en cuenta la naturaleza optativa de la actualización una vez la variación del IPC ha alcanzado un 3%, no es posible conocer de antemano el factor de actualización que cada prestador decidirá aplicar.</w:t>
      </w:r>
    </w:p>
    <w:p w:rsidR="00BD20D8" w:rsidRPr="00BD20D8" w:rsidRDefault="00BD20D8" w:rsidP="00BD20D8">
      <w:pPr>
        <w:spacing w:after="0" w:line="240" w:lineRule="auto"/>
        <w:jc w:val="both"/>
        <w:rPr>
          <w:rFonts w:eastAsia="Times New Roman" w:cs="Arial"/>
          <w:lang w:eastAsia="es-ES"/>
        </w:rPr>
      </w:pPr>
    </w:p>
    <w:p w:rsidR="007405B4" w:rsidRDefault="007405B4" w:rsidP="007405B4">
      <w:pPr>
        <w:pStyle w:val="Sinespaciado"/>
        <w:jc w:val="both"/>
        <w:rPr>
          <w:lang w:val="es-MX"/>
        </w:rPr>
      </w:pPr>
      <w:r>
        <w:rPr>
          <w:lang w:val="es-MX"/>
        </w:rPr>
        <w:t>No obstante, es importante que, en todo caso, las consecuencias jurídicas en relación con la aclaración y el impulso de una nueva metodología de actualización de tarifas:</w:t>
      </w:r>
    </w:p>
    <w:p w:rsidR="007405B4" w:rsidRDefault="007405B4" w:rsidP="007405B4">
      <w:pPr>
        <w:pStyle w:val="Sinespaciado"/>
        <w:jc w:val="both"/>
        <w:rPr>
          <w:lang w:val="es-MX"/>
        </w:rPr>
      </w:pPr>
    </w:p>
    <w:p w:rsidR="007405B4" w:rsidRPr="007405B4" w:rsidRDefault="00D251A8" w:rsidP="007405B4">
      <w:pPr>
        <w:pStyle w:val="Sinespaciado"/>
        <w:jc w:val="both"/>
        <w:rPr>
          <w:lang w:val="es-CO"/>
        </w:rPr>
      </w:pPr>
      <w:r w:rsidRPr="00D251A8">
        <w:rPr>
          <w:noProof/>
          <w:lang w:val="es-CO" w:eastAsia="es-CO"/>
        </w:rPr>
        <w:lastRenderedPageBreak/>
        <w:drawing>
          <wp:inline distT="0" distB="0" distL="0" distR="0" wp14:anchorId="798E8A57" wp14:editId="6C5E30D3">
            <wp:extent cx="6332220" cy="4067997"/>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2220" cy="4067997"/>
                    </a:xfrm>
                    <a:prstGeom prst="rect">
                      <a:avLst/>
                    </a:prstGeom>
                    <a:noFill/>
                    <a:ln>
                      <a:noFill/>
                    </a:ln>
                  </pic:spPr>
                </pic:pic>
              </a:graphicData>
            </a:graphic>
          </wp:inline>
        </w:drawing>
      </w:r>
    </w:p>
    <w:p w:rsidR="007405B4" w:rsidRDefault="007405B4" w:rsidP="007405B4">
      <w:pPr>
        <w:pStyle w:val="Sinespaciado"/>
        <w:jc w:val="both"/>
        <w:rPr>
          <w:lang w:val="es-MX"/>
        </w:rPr>
      </w:pPr>
    </w:p>
    <w:p w:rsidR="00AA7A4C" w:rsidRDefault="00AA7A4C" w:rsidP="00BF7D27">
      <w:pPr>
        <w:pStyle w:val="Ttulo1"/>
        <w:rPr>
          <w:lang w:val="es-MX"/>
        </w:rPr>
      </w:pPr>
      <w:bookmarkStart w:id="16" w:name="_Toc323042162"/>
      <w:r w:rsidRPr="00BF7D27">
        <w:rPr>
          <w:lang w:val="es-MX"/>
        </w:rPr>
        <w:t>CONCLUSIONES.</w:t>
      </w:r>
      <w:bookmarkEnd w:id="16"/>
    </w:p>
    <w:p w:rsidR="00AA7A4C" w:rsidRDefault="00AA7A4C" w:rsidP="00AA7A4C">
      <w:pPr>
        <w:spacing w:after="0" w:line="240" w:lineRule="auto"/>
        <w:jc w:val="both"/>
        <w:rPr>
          <w:b/>
          <w:sz w:val="24"/>
          <w:szCs w:val="24"/>
          <w:lang w:val="es-MX"/>
        </w:rPr>
      </w:pPr>
    </w:p>
    <w:p w:rsidR="00F41F8F" w:rsidRDefault="00F41F8F" w:rsidP="00ED2BA7">
      <w:pPr>
        <w:numPr>
          <w:ilvl w:val="0"/>
          <w:numId w:val="26"/>
        </w:numPr>
        <w:spacing w:after="0" w:line="240" w:lineRule="auto"/>
        <w:jc w:val="both"/>
      </w:pPr>
      <w:r>
        <w:rPr>
          <w:lang w:val="es-MX"/>
        </w:rPr>
        <w:t xml:space="preserve">Teniendo en cuenta </w:t>
      </w:r>
      <w:r>
        <w:t>que la variación porcentual del IPC está implícita en el factor de actualización (</w:t>
      </w:r>
      <w:proofErr w:type="spellStart"/>
      <w:r>
        <w:t>FAipc</w:t>
      </w:r>
      <w:proofErr w:type="spellEnd"/>
      <w:r>
        <w:t>), el redondeo de l</w:t>
      </w:r>
      <w:r w:rsidR="00CE6294">
        <w:t>a variación porcentual del IPC debe hacerse a dos decimales</w:t>
      </w:r>
      <w:r w:rsidR="002007E8">
        <w:t xml:space="preserve"> de acuerdo con lo señalado por el DANE; de lo cual</w:t>
      </w:r>
      <w:r>
        <w:t xml:space="preserve"> se desprende</w:t>
      </w:r>
      <w:r w:rsidR="009E01FB">
        <w:t>, que dicha variación</w:t>
      </w:r>
      <w:r>
        <w:t xml:space="preserve"> al ser expresada como factor de actualización por IPC (</w:t>
      </w:r>
      <w:proofErr w:type="spellStart"/>
      <w:r>
        <w:t>FAipc</w:t>
      </w:r>
      <w:proofErr w:type="spellEnd"/>
      <w:r>
        <w:t>), para estar en línea con lo indicado por el DANE, deberá ser redondeada a cuatro decimales.</w:t>
      </w:r>
    </w:p>
    <w:p w:rsidR="009275E6" w:rsidRDefault="009275E6" w:rsidP="00ED2BA7">
      <w:pPr>
        <w:spacing w:after="0" w:line="240" w:lineRule="auto"/>
        <w:ind w:left="720"/>
        <w:jc w:val="both"/>
      </w:pPr>
    </w:p>
    <w:p w:rsidR="009B4607" w:rsidRDefault="00941BF3" w:rsidP="009B4607">
      <w:pPr>
        <w:numPr>
          <w:ilvl w:val="0"/>
          <w:numId w:val="26"/>
        </w:numPr>
        <w:spacing w:after="0" w:line="240" w:lineRule="auto"/>
        <w:jc w:val="both"/>
        <w:rPr>
          <w:lang w:val="es-MX"/>
        </w:rPr>
      </w:pPr>
      <w:r>
        <w:rPr>
          <w:lang w:val="es-MX"/>
        </w:rPr>
        <w:t xml:space="preserve">No se considera necesario someter </w:t>
      </w:r>
      <w:r w:rsidR="005D4E43">
        <w:rPr>
          <w:lang w:val="es-MX"/>
        </w:rPr>
        <w:t xml:space="preserve">la aclaración </w:t>
      </w:r>
      <w:r w:rsidR="009275E6">
        <w:rPr>
          <w:lang w:val="es-MX"/>
        </w:rPr>
        <w:t xml:space="preserve">a las reglas mínimas del Decreto </w:t>
      </w:r>
      <w:r w:rsidR="009275E6" w:rsidRPr="00BC1246">
        <w:rPr>
          <w:lang w:val="es-MX"/>
        </w:rPr>
        <w:t xml:space="preserve">2696 de </w:t>
      </w:r>
      <w:r w:rsidR="009275E6" w:rsidRPr="00B92CCA">
        <w:rPr>
          <w:lang w:val="es-MX"/>
        </w:rPr>
        <w:t>2004</w:t>
      </w:r>
      <w:r w:rsidR="009275E6">
        <w:rPr>
          <w:lang w:val="es-MX"/>
        </w:rPr>
        <w:t xml:space="preserve">, considerando que </w:t>
      </w:r>
      <w:r>
        <w:rPr>
          <w:lang w:val="es-MX"/>
        </w:rPr>
        <w:t xml:space="preserve">este </w:t>
      </w:r>
      <w:r w:rsidR="009275E6">
        <w:rPr>
          <w:lang w:val="es-MX"/>
        </w:rPr>
        <w:t xml:space="preserve">busca corregir </w:t>
      </w:r>
      <w:r w:rsidR="009275E6" w:rsidRPr="003353AD">
        <w:rPr>
          <w:i/>
          <w:lang w:val="es-MX"/>
        </w:rPr>
        <w:t>“errores puramente aritméticos o tipográficos”</w:t>
      </w:r>
      <w:r w:rsidR="009275E6">
        <w:rPr>
          <w:lang w:val="es-MX"/>
        </w:rPr>
        <w:t xml:space="preserve"> al momento de la expedición de la Resolución</w:t>
      </w:r>
      <w:r>
        <w:rPr>
          <w:lang w:val="es-MX"/>
        </w:rPr>
        <w:t xml:space="preserve"> CRA 543 de 2011</w:t>
      </w:r>
      <w:r w:rsidR="005D4E43">
        <w:rPr>
          <w:lang w:val="es-MX"/>
        </w:rPr>
        <w:t>, circunstancia dentro de la cual se entiende implícita el error de hecho que no incide en el sentido de la decisión, de que trata el artículo 73 del C.C.A.</w:t>
      </w:r>
    </w:p>
    <w:p w:rsidR="005D4E43" w:rsidRPr="005D4E43" w:rsidRDefault="005D4E43" w:rsidP="005D4E43">
      <w:pPr>
        <w:spacing w:after="0" w:line="240" w:lineRule="auto"/>
        <w:ind w:left="720"/>
        <w:jc w:val="both"/>
        <w:rPr>
          <w:lang w:val="es-MX"/>
        </w:rPr>
      </w:pPr>
    </w:p>
    <w:p w:rsidR="005D4E43" w:rsidRPr="00C30907" w:rsidRDefault="005D4E43" w:rsidP="009B4607">
      <w:pPr>
        <w:numPr>
          <w:ilvl w:val="0"/>
          <w:numId w:val="26"/>
        </w:numPr>
        <w:spacing w:after="0" w:line="240" w:lineRule="auto"/>
        <w:jc w:val="both"/>
        <w:rPr>
          <w:lang w:val="es-MX"/>
        </w:rPr>
      </w:pPr>
      <w:r>
        <w:rPr>
          <w:rFonts w:cs="Times New Roman"/>
          <w:szCs w:val="20"/>
          <w:lang w:val="es-MX" w:bidi="en-US"/>
        </w:rPr>
        <w:t>Es viable que, paralelo a la aclaratoria de la Resolución, se impulse la expedición de una nueva metodología de actualización, en la que, además de indicar con claridad los decimales conforme a los cuales debe hacerse el redondeo del factor de actualización obtenido, se traten otros aspectos de mayor y menor incidencia.</w:t>
      </w:r>
    </w:p>
    <w:p w:rsidR="00AA7A4C" w:rsidRDefault="00AA7A4C" w:rsidP="00AA7A4C">
      <w:pPr>
        <w:spacing w:after="0" w:line="240" w:lineRule="auto"/>
        <w:jc w:val="both"/>
        <w:rPr>
          <w:b/>
          <w:sz w:val="24"/>
          <w:szCs w:val="24"/>
          <w:lang w:val="es-MX"/>
        </w:rPr>
      </w:pPr>
    </w:p>
    <w:p w:rsidR="00AA7A4C" w:rsidRPr="00BF7D27" w:rsidRDefault="00AA7A4C" w:rsidP="00BF7D27">
      <w:pPr>
        <w:pStyle w:val="Ttulo1"/>
        <w:rPr>
          <w:lang w:val="es-MX"/>
        </w:rPr>
      </w:pPr>
      <w:bookmarkStart w:id="17" w:name="_Toc323042163"/>
      <w:r w:rsidRPr="00BF7D27">
        <w:rPr>
          <w:lang w:val="es-MX"/>
        </w:rPr>
        <w:lastRenderedPageBreak/>
        <w:t>RECOMENDACIONES.</w:t>
      </w:r>
      <w:bookmarkEnd w:id="17"/>
    </w:p>
    <w:p w:rsidR="00AA7A4C" w:rsidRDefault="00AA7A4C" w:rsidP="00AA7A4C">
      <w:pPr>
        <w:spacing w:after="0" w:line="240" w:lineRule="auto"/>
        <w:jc w:val="both"/>
        <w:rPr>
          <w:b/>
          <w:sz w:val="24"/>
          <w:szCs w:val="24"/>
          <w:lang w:val="es-MX"/>
        </w:rPr>
      </w:pPr>
    </w:p>
    <w:p w:rsidR="000237CB" w:rsidRPr="00C30907" w:rsidRDefault="000237CB" w:rsidP="000237CB">
      <w:pPr>
        <w:spacing w:after="0" w:line="240" w:lineRule="auto"/>
        <w:jc w:val="both"/>
        <w:rPr>
          <w:lang w:val="es-MX"/>
        </w:rPr>
      </w:pPr>
      <w:r>
        <w:rPr>
          <w:lang w:val="es-MX"/>
        </w:rPr>
        <w:t>C</w:t>
      </w:r>
      <w:r w:rsidRPr="00B92CCA">
        <w:rPr>
          <w:lang w:val="es-MX"/>
        </w:rPr>
        <w:t>on el propósito de</w:t>
      </w:r>
      <w:r>
        <w:rPr>
          <w:lang w:val="es-MX"/>
        </w:rPr>
        <w:t xml:space="preserve"> aclarar la imprecisión consignada al </w:t>
      </w:r>
      <w:r w:rsidRPr="00B92CCA">
        <w:rPr>
          <w:lang w:val="es-MX"/>
        </w:rPr>
        <w:t xml:space="preserve">incluir el número dos en la expresión </w:t>
      </w:r>
      <w:r w:rsidRPr="004A1A39">
        <w:rPr>
          <w:i/>
          <w:lang w:val="es-MX"/>
        </w:rPr>
        <w:t>“dos decimales”</w:t>
      </w:r>
      <w:r w:rsidRPr="00B92CCA">
        <w:rPr>
          <w:lang w:val="es-MX"/>
        </w:rPr>
        <w:t xml:space="preserve"> al hacer referencia al redondeo del factor de actualización obtenido </w:t>
      </w:r>
      <w:proofErr w:type="spellStart"/>
      <w:r w:rsidRPr="00B92CCA">
        <w:rPr>
          <w:lang w:val="es-MX"/>
        </w:rPr>
        <w:t>FAipc</w:t>
      </w:r>
      <w:proofErr w:type="spellEnd"/>
      <w:r w:rsidRPr="00B92CCA">
        <w:rPr>
          <w:lang w:val="es-MX"/>
        </w:rPr>
        <w:t xml:space="preserve"> de que trata el parágrafo del artículo 5 de la Resolución CRA 543 de 2011, cuando en realidad la cifra debe redondearse a cuatro dígitos, se propone la siguiente aclaración a través de acto administrativo</w:t>
      </w:r>
      <w:r>
        <w:rPr>
          <w:lang w:val="es-MX"/>
        </w:rPr>
        <w:t>, haciendo la salvedad que la expresión “</w:t>
      </w:r>
      <w:r w:rsidRPr="00C30907">
        <w:rPr>
          <w:i/>
          <w:lang w:val="es-MX"/>
        </w:rPr>
        <w:t>y las operaciones resultantes de la actualización de costos y tarifas serán redondeadas a dos decimales</w:t>
      </w:r>
      <w:r>
        <w:rPr>
          <w:i/>
          <w:lang w:val="es-MX"/>
        </w:rPr>
        <w:t xml:space="preserve">”, </w:t>
      </w:r>
      <w:r w:rsidRPr="00C30907">
        <w:rPr>
          <w:lang w:val="es-MX"/>
        </w:rPr>
        <w:t>aun cuando no coincide textual</w:t>
      </w:r>
      <w:r>
        <w:rPr>
          <w:lang w:val="es-MX"/>
        </w:rPr>
        <w:t xml:space="preserve"> y expresamente</w:t>
      </w:r>
      <w:r w:rsidRPr="00C30907">
        <w:rPr>
          <w:lang w:val="es-MX"/>
        </w:rPr>
        <w:t xml:space="preserve"> con la incluida en el señalado parágrafo, sí</w:t>
      </w:r>
      <w:r>
        <w:rPr>
          <w:lang w:val="es-MX"/>
        </w:rPr>
        <w:t xml:space="preserve"> obedece al criterio que determinó el artículo objeto de </w:t>
      </w:r>
      <w:r w:rsidR="001D2E96">
        <w:rPr>
          <w:lang w:val="es-MX"/>
        </w:rPr>
        <w:t>aclaración</w:t>
      </w:r>
      <w:r>
        <w:rPr>
          <w:lang w:val="es-MX"/>
        </w:rPr>
        <w:t>:</w:t>
      </w:r>
    </w:p>
    <w:p w:rsidR="000237CB" w:rsidRDefault="000237CB" w:rsidP="000237CB">
      <w:pPr>
        <w:pStyle w:val="ListParagraph1"/>
        <w:spacing w:after="0" w:line="240" w:lineRule="auto"/>
        <w:jc w:val="both"/>
        <w:rPr>
          <w:rFonts w:cs="Times New Roman"/>
          <w:i/>
          <w:szCs w:val="20"/>
          <w:lang w:val="es-MX" w:bidi="en-US"/>
        </w:rPr>
      </w:pPr>
    </w:p>
    <w:p w:rsidR="000237CB" w:rsidRPr="00C5090C" w:rsidRDefault="000237CB" w:rsidP="000237CB">
      <w:pPr>
        <w:pStyle w:val="ListParagraph1"/>
        <w:spacing w:after="0" w:line="240" w:lineRule="auto"/>
        <w:jc w:val="both"/>
        <w:rPr>
          <w:rFonts w:cs="Times New Roman"/>
          <w:i/>
          <w:szCs w:val="20"/>
          <w:lang w:val="es-MX" w:bidi="en-US"/>
        </w:rPr>
      </w:pPr>
      <w:r w:rsidRPr="00C5090C">
        <w:rPr>
          <w:rFonts w:cs="Times New Roman"/>
          <w:i/>
          <w:szCs w:val="20"/>
          <w:lang w:val="es-MX" w:bidi="en-US"/>
        </w:rPr>
        <w:t xml:space="preserve">“Parágrafo.- Para la estimación del factor de actualización, se utilizará el índice IPC expresado de acuerdo con la base definida por el DANE vigente al momento de expedición de la presente resolución, redondeado a la cantidad de decimales que dicha entidad publique de manera oficial. El factor de actualización obtenido </w:t>
      </w:r>
      <w:proofErr w:type="spellStart"/>
      <w:r w:rsidRPr="00C5090C">
        <w:rPr>
          <w:rFonts w:cs="Times New Roman"/>
          <w:i/>
          <w:szCs w:val="20"/>
          <w:lang w:val="es-MX" w:bidi="en-US"/>
        </w:rPr>
        <w:t>FAipc</w:t>
      </w:r>
      <w:proofErr w:type="spellEnd"/>
      <w:r w:rsidRPr="00C5090C">
        <w:rPr>
          <w:rFonts w:cs="Times New Roman"/>
          <w:i/>
          <w:szCs w:val="20"/>
          <w:lang w:val="es-MX" w:bidi="en-US"/>
        </w:rPr>
        <w:t xml:space="preserve">, deberá ser redondeado a cuatro decimales y las operaciones resultantes </w:t>
      </w:r>
      <w:r w:rsidR="00E00C8F">
        <w:rPr>
          <w:rFonts w:cs="Times New Roman"/>
          <w:i/>
          <w:szCs w:val="20"/>
          <w:lang w:val="es-MX" w:bidi="en-US"/>
        </w:rPr>
        <w:t>de la fórmula de la actualización de costos por componente del artículo 3 de la presente resolución, serán</w:t>
      </w:r>
      <w:r w:rsidR="00E00C8F" w:rsidRPr="00C5090C">
        <w:rPr>
          <w:rFonts w:cs="Times New Roman"/>
          <w:i/>
          <w:szCs w:val="20"/>
          <w:lang w:val="es-MX" w:bidi="en-US"/>
        </w:rPr>
        <w:t xml:space="preserve"> </w:t>
      </w:r>
      <w:r w:rsidRPr="00C5090C">
        <w:rPr>
          <w:rFonts w:cs="Times New Roman"/>
          <w:i/>
          <w:szCs w:val="20"/>
          <w:lang w:val="es-MX" w:bidi="en-US"/>
        </w:rPr>
        <w:t xml:space="preserve"> redondeadas a dos decimales.”</w:t>
      </w:r>
    </w:p>
    <w:p w:rsidR="00FF1094" w:rsidRDefault="00FF1094" w:rsidP="00EF53F9">
      <w:pPr>
        <w:tabs>
          <w:tab w:val="num" w:pos="284"/>
        </w:tabs>
        <w:spacing w:after="0" w:line="240" w:lineRule="auto"/>
        <w:ind w:left="284" w:hanging="284"/>
        <w:jc w:val="both"/>
        <w:rPr>
          <w:b/>
          <w:sz w:val="24"/>
          <w:szCs w:val="24"/>
          <w:lang w:val="es-MX"/>
        </w:rPr>
      </w:pPr>
    </w:p>
    <w:p w:rsidR="00F36150" w:rsidRPr="00C30907" w:rsidRDefault="00F36150" w:rsidP="00F36150">
      <w:pPr>
        <w:spacing w:after="0" w:line="240" w:lineRule="auto"/>
        <w:jc w:val="both"/>
        <w:rPr>
          <w:lang w:val="es-MX"/>
        </w:rPr>
      </w:pPr>
      <w:r>
        <w:rPr>
          <w:rFonts w:cs="Times New Roman"/>
          <w:szCs w:val="20"/>
          <w:lang w:val="es-MX" w:bidi="en-US"/>
        </w:rPr>
        <w:t>Es viable que, paralelo a la aclaratoria de la Resolución, se impulse la expedición de una nueva metodología de actualización, en la que, además de indicar con claridad los decimales conforme a los cuales debe hacerse el redondeo del factor de actualización obtenido, se traten otros aspectos de mayor y menor incidencia.</w:t>
      </w:r>
    </w:p>
    <w:p w:rsidR="00FF1094" w:rsidRDefault="00FF1094" w:rsidP="00EF53F9">
      <w:pPr>
        <w:tabs>
          <w:tab w:val="num" w:pos="284"/>
        </w:tabs>
        <w:spacing w:after="0" w:line="240" w:lineRule="auto"/>
        <w:ind w:left="284" w:hanging="284"/>
        <w:jc w:val="both"/>
        <w:rPr>
          <w:b/>
          <w:sz w:val="24"/>
          <w:szCs w:val="24"/>
          <w:lang w:val="es-MX"/>
        </w:rPr>
      </w:pPr>
    </w:p>
    <w:p w:rsidR="00F36150" w:rsidRDefault="00F36150" w:rsidP="00EF53F9">
      <w:pPr>
        <w:tabs>
          <w:tab w:val="num" w:pos="284"/>
        </w:tabs>
        <w:spacing w:after="0" w:line="240" w:lineRule="auto"/>
        <w:ind w:left="284" w:hanging="284"/>
        <w:jc w:val="both"/>
        <w:rPr>
          <w:b/>
          <w:sz w:val="24"/>
          <w:szCs w:val="24"/>
          <w:lang w:val="es-MX"/>
        </w:rPr>
      </w:pPr>
    </w:p>
    <w:p w:rsidR="00EF53F9" w:rsidRPr="00DA2835" w:rsidRDefault="00EF53F9" w:rsidP="00EF53F9">
      <w:pPr>
        <w:tabs>
          <w:tab w:val="num" w:pos="284"/>
        </w:tabs>
        <w:spacing w:after="0" w:line="240" w:lineRule="auto"/>
        <w:ind w:left="284" w:hanging="284"/>
        <w:jc w:val="both"/>
        <w:rPr>
          <w:sz w:val="16"/>
          <w:szCs w:val="16"/>
          <w:lang w:val="es-MX"/>
        </w:rPr>
      </w:pPr>
      <w:r w:rsidRPr="00DA2835">
        <w:rPr>
          <w:b/>
          <w:sz w:val="16"/>
          <w:szCs w:val="16"/>
          <w:lang w:val="es-MX"/>
        </w:rPr>
        <w:t xml:space="preserve">Nombres Grupo de Trabajo: </w:t>
      </w:r>
    </w:p>
    <w:p w:rsidR="00EF53F9" w:rsidRPr="00DA2835" w:rsidRDefault="00EF53F9" w:rsidP="001E694F">
      <w:pPr>
        <w:spacing w:after="0" w:line="240" w:lineRule="auto"/>
        <w:jc w:val="both"/>
        <w:rPr>
          <w:b/>
          <w:sz w:val="16"/>
          <w:szCs w:val="16"/>
          <w:lang w:val="es-MX"/>
        </w:rPr>
      </w:pPr>
    </w:p>
    <w:p w:rsidR="003C4454" w:rsidRDefault="003C4454" w:rsidP="001E694F">
      <w:pPr>
        <w:spacing w:after="0" w:line="240" w:lineRule="auto"/>
        <w:jc w:val="both"/>
        <w:rPr>
          <w:sz w:val="16"/>
          <w:szCs w:val="16"/>
          <w:lang w:val="es-MX"/>
        </w:rPr>
      </w:pPr>
      <w:r w:rsidRPr="00DA2835">
        <w:rPr>
          <w:sz w:val="16"/>
          <w:szCs w:val="16"/>
          <w:lang w:val="es-MX"/>
        </w:rPr>
        <w:t xml:space="preserve">Subdirector Técnico (E) – </w:t>
      </w:r>
      <w:r w:rsidR="00F36150">
        <w:rPr>
          <w:sz w:val="16"/>
          <w:szCs w:val="16"/>
          <w:lang w:val="es-MX"/>
        </w:rPr>
        <w:t>William Wilches Rodríguez</w:t>
      </w:r>
    </w:p>
    <w:p w:rsidR="00F874B8" w:rsidRPr="00DA2835" w:rsidRDefault="00F874B8" w:rsidP="001E694F">
      <w:pPr>
        <w:spacing w:after="0" w:line="240" w:lineRule="auto"/>
        <w:jc w:val="both"/>
        <w:rPr>
          <w:sz w:val="16"/>
          <w:szCs w:val="16"/>
          <w:lang w:val="es-MX"/>
        </w:rPr>
      </w:pPr>
      <w:r>
        <w:rPr>
          <w:sz w:val="16"/>
          <w:szCs w:val="16"/>
          <w:lang w:val="es-MX"/>
        </w:rPr>
        <w:t>Jefe Oficina Asesora Jurídica – Ricardo Arturo Arias Beltrán</w:t>
      </w:r>
    </w:p>
    <w:p w:rsidR="001E28CD" w:rsidRPr="00DA2835" w:rsidRDefault="00EB4901" w:rsidP="001E694F">
      <w:pPr>
        <w:spacing w:after="0" w:line="240" w:lineRule="auto"/>
        <w:jc w:val="both"/>
        <w:rPr>
          <w:sz w:val="16"/>
          <w:szCs w:val="16"/>
          <w:lang w:val="es-MX"/>
        </w:rPr>
      </w:pPr>
      <w:r w:rsidRPr="00DA2835">
        <w:rPr>
          <w:sz w:val="16"/>
          <w:szCs w:val="16"/>
          <w:lang w:val="es-MX"/>
        </w:rPr>
        <w:t>Asesor – Sergio Andr</w:t>
      </w:r>
      <w:r w:rsidR="00ED2BA7" w:rsidRPr="00DA2835">
        <w:rPr>
          <w:sz w:val="16"/>
          <w:szCs w:val="16"/>
          <w:lang w:val="es-MX"/>
        </w:rPr>
        <w:t>é</w:t>
      </w:r>
      <w:r w:rsidRPr="00DA2835">
        <w:rPr>
          <w:sz w:val="16"/>
          <w:szCs w:val="16"/>
          <w:lang w:val="es-MX"/>
        </w:rPr>
        <w:t>s Rodr</w:t>
      </w:r>
      <w:r w:rsidR="00ED2BA7" w:rsidRPr="00DA2835">
        <w:rPr>
          <w:sz w:val="16"/>
          <w:szCs w:val="16"/>
          <w:lang w:val="es-MX"/>
        </w:rPr>
        <w:t>í</w:t>
      </w:r>
      <w:r w:rsidRPr="00DA2835">
        <w:rPr>
          <w:sz w:val="16"/>
          <w:szCs w:val="16"/>
          <w:lang w:val="es-MX"/>
        </w:rPr>
        <w:t>guez Acevedo</w:t>
      </w:r>
    </w:p>
    <w:p w:rsidR="00EB4901" w:rsidRPr="00DA2835" w:rsidRDefault="00EB4901" w:rsidP="001E694F">
      <w:pPr>
        <w:spacing w:after="0" w:line="240" w:lineRule="auto"/>
        <w:jc w:val="both"/>
        <w:rPr>
          <w:sz w:val="16"/>
          <w:szCs w:val="16"/>
          <w:lang w:val="es-MX"/>
        </w:rPr>
      </w:pPr>
      <w:r w:rsidRPr="00DA2835">
        <w:rPr>
          <w:sz w:val="16"/>
          <w:szCs w:val="16"/>
          <w:lang w:val="es-MX"/>
        </w:rPr>
        <w:t>Profesional Especializado Subdirección Técnica – German Orjuela</w:t>
      </w:r>
    </w:p>
    <w:p w:rsidR="00EB4901" w:rsidRPr="00DA2835" w:rsidRDefault="00CA71AF" w:rsidP="001E694F">
      <w:pPr>
        <w:spacing w:after="0" w:line="240" w:lineRule="auto"/>
        <w:jc w:val="both"/>
        <w:rPr>
          <w:sz w:val="16"/>
          <w:szCs w:val="16"/>
          <w:lang w:val="es-MX"/>
        </w:rPr>
      </w:pPr>
      <w:r w:rsidRPr="00DA2835">
        <w:rPr>
          <w:sz w:val="16"/>
          <w:szCs w:val="16"/>
          <w:lang w:val="es-MX"/>
        </w:rPr>
        <w:t xml:space="preserve">Asesora Oficina Jurídica </w:t>
      </w:r>
      <w:r w:rsidR="0026731C" w:rsidRPr="00DA2835">
        <w:rPr>
          <w:sz w:val="16"/>
          <w:szCs w:val="16"/>
          <w:lang w:val="es-MX"/>
        </w:rPr>
        <w:t xml:space="preserve">– Paula </w:t>
      </w:r>
      <w:r w:rsidR="00600265" w:rsidRPr="00DA2835">
        <w:rPr>
          <w:sz w:val="16"/>
          <w:szCs w:val="16"/>
          <w:lang w:val="es-MX"/>
        </w:rPr>
        <w:t>Angé</w:t>
      </w:r>
      <w:r w:rsidR="00600265">
        <w:rPr>
          <w:sz w:val="16"/>
          <w:szCs w:val="16"/>
          <w:lang w:val="es-MX"/>
        </w:rPr>
        <w:t>l</w:t>
      </w:r>
      <w:r w:rsidR="00600265" w:rsidRPr="00DA2835">
        <w:rPr>
          <w:sz w:val="16"/>
          <w:szCs w:val="16"/>
          <w:lang w:val="es-MX"/>
        </w:rPr>
        <w:t>ica</w:t>
      </w:r>
      <w:r w:rsidR="0026731C" w:rsidRPr="00DA2835">
        <w:rPr>
          <w:sz w:val="16"/>
          <w:szCs w:val="16"/>
          <w:lang w:val="es-MX"/>
        </w:rPr>
        <w:t xml:space="preserve"> Rodrí</w:t>
      </w:r>
      <w:r w:rsidR="00EB4901" w:rsidRPr="00DA2835">
        <w:rPr>
          <w:sz w:val="16"/>
          <w:szCs w:val="16"/>
          <w:lang w:val="es-MX"/>
        </w:rPr>
        <w:t>guez Poveda</w:t>
      </w:r>
    </w:p>
    <w:sectPr w:rsidR="00EB4901" w:rsidRPr="00DA2835" w:rsidSect="00AE32C9">
      <w:headerReference w:type="even" r:id="rId20"/>
      <w:headerReference w:type="default" r:id="rId21"/>
      <w:footerReference w:type="even" r:id="rId22"/>
      <w:footerReference w:type="default" r:id="rId23"/>
      <w:headerReference w:type="first" r:id="rId24"/>
      <w:footerReference w:type="first" r:id="rId25"/>
      <w:footnotePr>
        <w:pos w:val="beneathText"/>
      </w:footnotePr>
      <w:pgSz w:w="12240" w:h="15840"/>
      <w:pgMar w:top="1226" w:right="1134" w:bottom="1134" w:left="1134" w:header="851" w:footer="22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B1" w:rsidRDefault="00C078B1">
      <w:pPr>
        <w:spacing w:after="0" w:line="240" w:lineRule="auto"/>
      </w:pPr>
      <w:r>
        <w:separator/>
      </w:r>
    </w:p>
  </w:endnote>
  <w:endnote w:type="continuationSeparator" w:id="0">
    <w:p w:rsidR="00C078B1" w:rsidRDefault="00C0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ode3of9">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68" w:rsidRDefault="002546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C3" w:rsidRDefault="00D06CC3">
    <w:pPr>
      <w:pStyle w:val="Piedepgina"/>
      <w:jc w:val="right"/>
    </w:pPr>
    <w:r>
      <w:fldChar w:fldCharType="begin"/>
    </w:r>
    <w:r>
      <w:instrText xml:space="preserve"> PAGE </w:instrText>
    </w:r>
    <w:r>
      <w:fldChar w:fldCharType="separate"/>
    </w:r>
    <w:r w:rsidR="004566C3">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68" w:rsidRDefault="002546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B1" w:rsidRDefault="00C078B1">
      <w:pPr>
        <w:spacing w:after="0" w:line="240" w:lineRule="auto"/>
      </w:pPr>
      <w:r>
        <w:separator/>
      </w:r>
    </w:p>
  </w:footnote>
  <w:footnote w:type="continuationSeparator" w:id="0">
    <w:p w:rsidR="00C078B1" w:rsidRDefault="00C078B1">
      <w:pPr>
        <w:spacing w:after="0" w:line="240" w:lineRule="auto"/>
      </w:pPr>
      <w:r>
        <w:continuationSeparator/>
      </w:r>
    </w:p>
  </w:footnote>
  <w:footnote w:id="1">
    <w:p w:rsidR="00D06CC3" w:rsidRDefault="00D06CC3" w:rsidP="00C5090C">
      <w:pPr>
        <w:pStyle w:val="Textonotapie"/>
      </w:pPr>
      <w:r>
        <w:rPr>
          <w:rStyle w:val="Refdenotaalpie"/>
        </w:rPr>
        <w:footnoteRef/>
      </w:r>
      <w:r>
        <w:t xml:space="preserve"> Se denomina porcentaje a la expresión de un número como fracción de 100. Por ejemplo, 5% equivale a 5/100, lo cual a su vez, es igual a 0.05.</w:t>
      </w:r>
    </w:p>
  </w:footnote>
  <w:footnote w:id="2">
    <w:p w:rsidR="00D06CC3" w:rsidRPr="00ED2BA7" w:rsidRDefault="00D06CC3">
      <w:pPr>
        <w:pStyle w:val="Textonotapie"/>
        <w:rPr>
          <w:lang w:val="es-CO"/>
        </w:rPr>
      </w:pPr>
      <w:r>
        <w:rPr>
          <w:rStyle w:val="Refdenotaalpie"/>
        </w:rPr>
        <w:footnoteRef/>
      </w:r>
      <w:r>
        <w:t xml:space="preserve"> Las variaciones porcentuales mensuales del IPC utilizadas en el ejemplo fueron estimadas con base en el índice IPC, con el fin de lograr estimaciones más precisas a nivel de decimales. </w:t>
      </w:r>
    </w:p>
  </w:footnote>
  <w:footnote w:id="3">
    <w:p w:rsidR="00DF5C2D" w:rsidRPr="00144127" w:rsidRDefault="00DF5C2D">
      <w:pPr>
        <w:pStyle w:val="Textonotapie"/>
        <w:rPr>
          <w:rFonts w:asciiTheme="minorHAnsi" w:hAnsiTheme="minorHAnsi" w:cstheme="minorHAnsi"/>
          <w:sz w:val="18"/>
          <w:szCs w:val="18"/>
          <w:lang w:val="es-CO"/>
        </w:rPr>
      </w:pPr>
      <w:r>
        <w:rPr>
          <w:rStyle w:val="Refdenotaalpie"/>
        </w:rPr>
        <w:footnoteRef/>
      </w:r>
      <w:r>
        <w:t xml:space="preserve"> </w:t>
      </w:r>
      <w:r>
        <w:rPr>
          <w:lang w:val="es-CO"/>
        </w:rPr>
        <w:t>La variación porcentual acumulada</w:t>
      </w:r>
      <w:r w:rsidR="00144127">
        <w:rPr>
          <w:lang w:val="es-CO"/>
        </w:rPr>
        <w:t>,</w:t>
      </w:r>
      <w:r>
        <w:rPr>
          <w:lang w:val="es-CO"/>
        </w:rPr>
        <w:t xml:space="preserve"> independiente del método que se utilice</w:t>
      </w:r>
      <w:r w:rsidR="00144127">
        <w:rPr>
          <w:lang w:val="es-CO"/>
        </w:rPr>
        <w:t>,</w:t>
      </w:r>
      <w:r>
        <w:rPr>
          <w:lang w:val="es-CO"/>
        </w:rPr>
        <w:t xml:space="preserve"> corresponde a  </w:t>
      </w:r>
      <m:oMath>
        <m:f>
          <m:fPr>
            <m:ctrlPr>
              <w:rPr>
                <w:rFonts w:ascii="Cambria Math" w:eastAsia="Times New Roman" w:hAnsi="Cambria Math" w:cstheme="minorHAnsi"/>
                <w:i/>
                <w:color w:val="000000"/>
                <w:sz w:val="18"/>
                <w:szCs w:val="18"/>
                <w:lang w:eastAsia="es-CO"/>
              </w:rPr>
            </m:ctrlPr>
          </m:fPr>
          <m:num>
            <m:r>
              <w:rPr>
                <w:rFonts w:ascii="Cambria Math" w:eastAsia="Times New Roman" w:hAnsi="Cambria Math" w:cstheme="minorHAnsi"/>
                <w:color w:val="000000"/>
                <w:sz w:val="18"/>
                <w:szCs w:val="18"/>
                <w:lang w:eastAsia="es-CO"/>
              </w:rPr>
              <m:t>(109.96-106.19)</m:t>
            </m:r>
          </m:num>
          <m:den>
            <m:r>
              <w:rPr>
                <w:rFonts w:ascii="Cambria Math" w:eastAsia="Times New Roman" w:hAnsi="Cambria Math" w:cstheme="minorHAnsi"/>
                <w:color w:val="000000"/>
                <w:sz w:val="18"/>
                <w:szCs w:val="18"/>
                <w:lang w:eastAsia="es-CO"/>
              </w:rPr>
              <m:t>106.19</m:t>
            </m:r>
          </m:den>
        </m:f>
        <m:r>
          <w:rPr>
            <w:rFonts w:ascii="Cambria Math" w:eastAsia="Times New Roman" w:hAnsi="Cambria Math" w:cstheme="minorHAnsi"/>
            <w:color w:val="000000"/>
            <w:sz w:val="18"/>
            <w:szCs w:val="18"/>
            <w:lang w:eastAsia="es-CO"/>
          </w:rPr>
          <m:t xml:space="preserve"> </m:t>
        </m:r>
      </m:oMath>
      <w:r w:rsidRPr="00DF5C2D">
        <w:rPr>
          <w:rFonts w:eastAsia="Times New Roman"/>
          <w:color w:val="000000"/>
          <w:sz w:val="16"/>
          <w:szCs w:val="16"/>
          <w:lang w:eastAsia="es-CO"/>
        </w:rPr>
        <w:t>=</w:t>
      </w:r>
      <w:r>
        <w:rPr>
          <w:rFonts w:eastAsia="Times New Roman"/>
          <w:color w:val="000000"/>
          <w:sz w:val="16"/>
          <w:szCs w:val="16"/>
          <w:lang w:eastAsia="es-CO"/>
        </w:rPr>
        <w:t xml:space="preserve"> </w:t>
      </w:r>
      <w:r w:rsidRPr="00144127">
        <w:rPr>
          <w:rFonts w:asciiTheme="minorHAnsi" w:eastAsia="Times New Roman" w:hAnsiTheme="minorHAnsi" w:cstheme="minorHAnsi"/>
          <w:color w:val="000000"/>
          <w:sz w:val="18"/>
          <w:szCs w:val="18"/>
          <w:lang w:eastAsia="es-CO"/>
        </w:rPr>
        <w:t xml:space="preserve">0.035502 = </w:t>
      </w:r>
      <m:oMath>
        <m:r>
          <w:rPr>
            <w:rFonts w:ascii="Cambria Math" w:eastAsia="Times New Roman" w:hAnsi="Cambria Math" w:cstheme="minorHAnsi"/>
            <w:color w:val="000000"/>
            <w:sz w:val="18"/>
            <w:szCs w:val="18"/>
            <w:lang w:eastAsia="es-CO"/>
          </w:rPr>
          <m:t>0.035502*100=3.5502%</m:t>
        </m:r>
      </m:oMath>
      <w:r w:rsidR="00144127">
        <w:rPr>
          <w:rFonts w:asciiTheme="minorHAnsi" w:eastAsia="Times New Roman" w:hAnsiTheme="minorHAnsi" w:cstheme="minorHAnsi"/>
          <w:color w:val="000000"/>
          <w:sz w:val="18"/>
          <w:szCs w:val="18"/>
          <w:lang w:eastAsia="es-CO"/>
        </w:rPr>
        <w:t>.</w:t>
      </w:r>
    </w:p>
  </w:footnote>
  <w:footnote w:id="4">
    <w:p w:rsidR="00D06CC3" w:rsidRPr="00ED2BA7" w:rsidRDefault="00D06CC3" w:rsidP="00C5090C">
      <w:pPr>
        <w:pStyle w:val="Textonotapie"/>
        <w:tabs>
          <w:tab w:val="left" w:pos="6111"/>
        </w:tabs>
        <w:rPr>
          <w:sz w:val="18"/>
          <w:szCs w:val="18"/>
        </w:rPr>
      </w:pPr>
      <w:r w:rsidRPr="00DA0910">
        <w:rPr>
          <w:rStyle w:val="Refdenotaalpie"/>
        </w:rPr>
        <w:footnoteRef/>
      </w:r>
      <w:r w:rsidRPr="00DA0910">
        <w:t xml:space="preserve"> </w:t>
      </w:r>
      <w:r w:rsidRPr="00ED2BA7">
        <w:rPr>
          <w:sz w:val="18"/>
          <w:szCs w:val="18"/>
        </w:rPr>
        <w:t>DANE. Preguntas Frecuentes Acerca del IPC. “</w:t>
      </w:r>
      <w:hyperlink r:id="rId1" w:history="1">
        <w:r w:rsidRPr="00ED2BA7">
          <w:rPr>
            <w:rStyle w:val="Hipervnculo"/>
            <w:rFonts w:cs="Calibri"/>
            <w:sz w:val="18"/>
            <w:szCs w:val="18"/>
          </w:rPr>
          <w:t>http://www.dane.gov.co/files/faqs/faq_ipc.pdf</w:t>
        </w:r>
      </w:hyperlink>
      <w:r>
        <w:rPr>
          <w:sz w:val="18"/>
          <w:szCs w:val="18"/>
        </w:rPr>
        <w:t>”</w:t>
      </w:r>
      <w:r w:rsidRPr="00ED2BA7">
        <w:rPr>
          <w:sz w:val="18"/>
          <w:szCs w:val="18"/>
        </w:rPr>
        <w:t>.</w:t>
      </w:r>
    </w:p>
  </w:footnote>
  <w:footnote w:id="5">
    <w:p w:rsidR="00D06CC3" w:rsidRPr="00C5090C" w:rsidRDefault="00D06CC3" w:rsidP="00C5090C">
      <w:pPr>
        <w:pStyle w:val="Textonotapie"/>
      </w:pPr>
      <w:r w:rsidRPr="00ED2BA7">
        <w:rPr>
          <w:rStyle w:val="Refdenotaalpie"/>
          <w:sz w:val="18"/>
          <w:szCs w:val="18"/>
        </w:rPr>
        <w:footnoteRef/>
      </w:r>
      <w:r w:rsidRPr="00ED2BA7">
        <w:rPr>
          <w:sz w:val="18"/>
          <w:szCs w:val="18"/>
        </w:rPr>
        <w:t xml:space="preserve"> DANE. Metodología de cálculo del Índice de Precios al Consumidor. </w:t>
      </w:r>
      <w:r>
        <w:rPr>
          <w:sz w:val="18"/>
          <w:szCs w:val="18"/>
        </w:rPr>
        <w:t>“</w:t>
      </w:r>
      <w:hyperlink r:id="rId2" w:history="1">
        <w:r w:rsidRPr="00ED2BA7">
          <w:rPr>
            <w:rStyle w:val="Hipervnculo"/>
            <w:rFonts w:cs="Calibri"/>
            <w:sz w:val="18"/>
            <w:szCs w:val="18"/>
          </w:rPr>
          <w:t>http://www.dane.gov.co/files/investigaciones/fichas/IPC.pdf</w:t>
        </w:r>
      </w:hyperlink>
      <w:r>
        <w:rPr>
          <w:sz w:val="18"/>
          <w:szCs w:val="18"/>
        </w:rPr>
        <w:t>”.</w:t>
      </w:r>
    </w:p>
  </w:footnote>
  <w:footnote w:id="6">
    <w:p w:rsidR="00D06CC3" w:rsidRPr="008566D2" w:rsidRDefault="00D06CC3" w:rsidP="00F51E99">
      <w:pPr>
        <w:pStyle w:val="Textonotapie"/>
        <w:rPr>
          <w:lang w:val="es-MX"/>
        </w:rPr>
      </w:pPr>
      <w:r>
        <w:rPr>
          <w:rStyle w:val="Refdenotaalpie"/>
        </w:rPr>
        <w:footnoteRef/>
      </w:r>
      <w:r>
        <w:t xml:space="preserve"> </w:t>
      </w:r>
      <w:r>
        <w:rPr>
          <w:lang w:val="es-MX"/>
        </w:rPr>
        <w:t>Consejo de Estado. Sala de lo Contencioso Administrativo. Sección Primera. Sentencia del 2 de febrero de 1980. C.E.: Carlos Galindo Pinilla. Referencia: 2713.</w:t>
      </w:r>
    </w:p>
  </w:footnote>
  <w:footnote w:id="7">
    <w:p w:rsidR="0073452C" w:rsidRPr="00A541A7" w:rsidRDefault="0073452C" w:rsidP="0073452C">
      <w:pPr>
        <w:pStyle w:val="Textonotapie"/>
        <w:jc w:val="both"/>
        <w:rPr>
          <w:sz w:val="16"/>
          <w:szCs w:val="16"/>
          <w:lang w:val="es-MX"/>
        </w:rPr>
      </w:pPr>
      <w:r w:rsidRPr="00A541A7">
        <w:rPr>
          <w:rStyle w:val="Refdenotaalpie"/>
          <w:sz w:val="16"/>
          <w:szCs w:val="16"/>
        </w:rPr>
        <w:footnoteRef/>
      </w:r>
      <w:r w:rsidRPr="00A541A7">
        <w:rPr>
          <w:sz w:val="16"/>
          <w:szCs w:val="16"/>
        </w:rPr>
        <w:t xml:space="preserve"> Meseguer </w:t>
      </w:r>
      <w:proofErr w:type="spellStart"/>
      <w:r w:rsidRPr="00A541A7">
        <w:rPr>
          <w:sz w:val="16"/>
          <w:szCs w:val="16"/>
        </w:rPr>
        <w:t>Yebra</w:t>
      </w:r>
      <w:proofErr w:type="spellEnd"/>
      <w:r w:rsidRPr="00A541A7">
        <w:rPr>
          <w:sz w:val="16"/>
          <w:szCs w:val="16"/>
        </w:rPr>
        <w:t>, Joaquín. La rectificación de los errores materiales, de hecho y aritméticos en los actos administrativos. Barcelona. Bosch,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68" w:rsidRDefault="002546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C3" w:rsidRPr="00F761BA" w:rsidRDefault="00C078B1" w:rsidP="00AE32C9">
    <w:pPr>
      <w:pStyle w:val="Encabezado"/>
      <w:jc w:val="right"/>
      <w:rPr>
        <w:lang w:val="es-CO"/>
      </w:rPr>
    </w:pPr>
    <w:sdt>
      <w:sdtPr>
        <w:rPr>
          <w:lang w:val="es-CO"/>
        </w:rPr>
        <w:id w:val="-1820344340"/>
        <w:docPartObj>
          <w:docPartGallery w:val="Watermarks"/>
          <w:docPartUnique/>
        </w:docPartObj>
      </w:sdtPr>
      <w:sdtEndPr/>
      <w:sdtContent>
        <w:r>
          <w:rPr>
            <w:lang w:val="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D06CC3">
      <w:rPr>
        <w:noProof/>
        <w:lang w:val="es-CO" w:eastAsia="es-CO"/>
      </w:rPr>
      <w:drawing>
        <wp:anchor distT="0" distB="0" distL="114300" distR="114300" simplePos="0" relativeHeight="251657216" behindDoc="0" locked="0" layoutInCell="1" allowOverlap="1" wp14:anchorId="227AFF2B" wp14:editId="639BD12A">
          <wp:simplePos x="0" y="0"/>
          <wp:positionH relativeFrom="column">
            <wp:posOffset>-133350</wp:posOffset>
          </wp:positionH>
          <wp:positionV relativeFrom="paragraph">
            <wp:posOffset>-16510</wp:posOffset>
          </wp:positionV>
          <wp:extent cx="2733040" cy="514350"/>
          <wp:effectExtent l="0" t="0" r="0" b="0"/>
          <wp:wrapNone/>
          <wp:docPr id="1" name="Imagen 1" descr="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04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CC3">
      <w:rPr>
        <w:lang w:val="es-CO"/>
      </w:rPr>
      <w:tab/>
    </w:r>
    <w:r w:rsidR="00D06CC3">
      <w:rPr>
        <w:lang w:val="es-CO"/>
      </w:rPr>
      <w:tab/>
    </w:r>
    <w:r w:rsidR="00D06CC3">
      <w:rPr>
        <w:lang w:val="es-CO"/>
      </w:rPr>
      <w:tab/>
    </w:r>
    <w:r w:rsidR="00D06CC3">
      <w:rPr>
        <w:lang w:val="es-CO"/>
      </w:rPr>
      <w:tab/>
    </w:r>
    <w:r w:rsidR="00D06CC3">
      <w:rPr>
        <w:lang w:val="es-CO"/>
      </w:rPr>
      <w:tab/>
    </w:r>
    <w:r w:rsidR="00D06CC3">
      <w:rPr>
        <w:lang w:val="es-CO"/>
      </w:rPr>
      <w:tab/>
    </w:r>
    <w:r w:rsidR="00D06CC3">
      <w:rPr>
        <w:lang w:val="es-CO"/>
      </w:rPr>
      <w:tab/>
      <w:t>REGG-FOR07</w:t>
    </w:r>
  </w:p>
  <w:p w:rsidR="00D06CC3" w:rsidRPr="009812EB" w:rsidRDefault="00D06CC3">
    <w:pPr>
      <w:pStyle w:val="Encabezado"/>
      <w:jc w:val="both"/>
      <w:rPr>
        <w:rFonts w:ascii="Code3of9" w:hAnsi="Code3of9" w:cs="Tahoma"/>
        <w:sz w:val="16"/>
        <w:szCs w:val="40"/>
        <w:lang w:val="es-MX"/>
      </w:rPr>
    </w:pPr>
  </w:p>
  <w:p w:rsidR="00D06CC3" w:rsidRDefault="00D06CC3">
    <w:pPr>
      <w:pStyle w:val="Encabezado"/>
      <w:snapToGrid w:val="0"/>
      <w:ind w:right="-6"/>
      <w:jc w:val="right"/>
      <w:rPr>
        <w:rFonts w:cs="Tahoma"/>
        <w:b/>
        <w:sz w:val="20"/>
        <w:szCs w:val="20"/>
      </w:rPr>
    </w:pPr>
  </w:p>
  <w:p w:rsidR="00D06CC3" w:rsidRDefault="00D06CC3">
    <w:pPr>
      <w:pStyle w:val="Encabezado"/>
      <w:snapToGrid w:val="0"/>
      <w:ind w:right="-6"/>
      <w:jc w:val="right"/>
      <w:rPr>
        <w:rFonts w:cs="Tahoma"/>
        <w:b/>
        <w:sz w:val="20"/>
        <w:szCs w:val="20"/>
      </w:rPr>
    </w:pPr>
  </w:p>
  <w:p w:rsidR="00D06CC3" w:rsidRDefault="00D06CC3">
    <w:pPr>
      <w:pStyle w:val="Encabezado"/>
      <w:snapToGrid w:val="0"/>
      <w:ind w:right="-6"/>
      <w:jc w:val="right"/>
      <w:rPr>
        <w:rFonts w:cs="Tahoma"/>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68" w:rsidRDefault="002546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E6BAA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1811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576FE4"/>
    <w:multiLevelType w:val="hybridMultilevel"/>
    <w:tmpl w:val="C0BA569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187B6F2A"/>
    <w:multiLevelType w:val="hybridMultilevel"/>
    <w:tmpl w:val="E96A4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CB76A3"/>
    <w:multiLevelType w:val="hybridMultilevel"/>
    <w:tmpl w:val="1EEC8CD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C9019B"/>
    <w:multiLevelType w:val="hybridMultilevel"/>
    <w:tmpl w:val="459E4C86"/>
    <w:lvl w:ilvl="0" w:tplc="282A1AD6">
      <w:start w:val="1"/>
      <w:numFmt w:val="decimal"/>
      <w:lvlText w:val="%1."/>
      <w:lvlJc w:val="left"/>
      <w:pPr>
        <w:tabs>
          <w:tab w:val="num" w:pos="720"/>
        </w:tabs>
        <w:ind w:left="720" w:hanging="360"/>
      </w:pPr>
      <w:rPr>
        <w:rFonts w:ascii="Calibri" w:eastAsia="Calibri" w:hAnsi="Calibri"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3475FCA"/>
    <w:multiLevelType w:val="hybridMultilevel"/>
    <w:tmpl w:val="3D42636E"/>
    <w:lvl w:ilvl="0" w:tplc="AFF60702">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6D41D5A"/>
    <w:multiLevelType w:val="hybridMultilevel"/>
    <w:tmpl w:val="E2600FCC"/>
    <w:lvl w:ilvl="0" w:tplc="FC6E992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2878F6"/>
    <w:multiLevelType w:val="hybridMultilevel"/>
    <w:tmpl w:val="791C9D1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F83836"/>
    <w:multiLevelType w:val="multilevel"/>
    <w:tmpl w:val="A9D261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nsid w:val="4FAF3592"/>
    <w:multiLevelType w:val="hybridMultilevel"/>
    <w:tmpl w:val="786C62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54F713B"/>
    <w:multiLevelType w:val="hybridMultilevel"/>
    <w:tmpl w:val="4B405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AEA69C5"/>
    <w:multiLevelType w:val="hybridMultilevel"/>
    <w:tmpl w:val="E44E275A"/>
    <w:lvl w:ilvl="0" w:tplc="282A1AD6">
      <w:start w:val="1"/>
      <w:numFmt w:val="decimal"/>
      <w:lvlText w:val="%1."/>
      <w:lvlJc w:val="left"/>
      <w:pPr>
        <w:tabs>
          <w:tab w:val="num" w:pos="720"/>
        </w:tabs>
        <w:ind w:left="720" w:hanging="360"/>
      </w:pPr>
      <w:rPr>
        <w:rFonts w:ascii="Calibri" w:eastAsia="Calibri" w:hAnsi="Calibri"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0A54844"/>
    <w:multiLevelType w:val="hybridMultilevel"/>
    <w:tmpl w:val="31482294"/>
    <w:lvl w:ilvl="0" w:tplc="0C0A0001">
      <w:start w:val="1"/>
      <w:numFmt w:val="bullet"/>
      <w:lvlText w:val=""/>
      <w:lvlJc w:val="left"/>
      <w:pPr>
        <w:ind w:left="1428" w:hanging="360"/>
      </w:pPr>
      <w:rPr>
        <w:rFonts w:ascii="Symbol" w:hAnsi="Symbol" w:cs="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nsid w:val="73303C90"/>
    <w:multiLevelType w:val="hybridMultilevel"/>
    <w:tmpl w:val="A3CE7E0E"/>
    <w:lvl w:ilvl="0" w:tplc="997E0016">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7AA97EED"/>
    <w:multiLevelType w:val="multilevel"/>
    <w:tmpl w:val="3B302CB8"/>
    <w:lvl w:ilvl="0">
      <w:start w:val="1"/>
      <w:numFmt w:val="decimal"/>
      <w:pStyle w:val="Ttulo1"/>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FA535F7"/>
    <w:multiLevelType w:val="hybridMultilevel"/>
    <w:tmpl w:val="B568EA8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8">
    <w:nsid w:val="7FCE6612"/>
    <w:multiLevelType w:val="hybridMultilevel"/>
    <w:tmpl w:val="690090A6"/>
    <w:lvl w:ilvl="0" w:tplc="D6F2B378">
      <w:start w:val="1"/>
      <w:numFmt w:val="lowerRoman"/>
      <w:lvlText w:val="%1)"/>
      <w:lvlJc w:val="left"/>
      <w:pPr>
        <w:ind w:left="1080" w:hanging="720"/>
      </w:pPr>
      <w:rPr>
        <w:rFonts w:ascii="Calibri" w:eastAsia="Calibri" w:hAnsi="Calibri"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9"/>
  </w:num>
  <w:num w:numId="5">
    <w:abstractNumId w:val="6"/>
  </w:num>
  <w:num w:numId="6">
    <w:abstractNumId w:val="13"/>
  </w:num>
  <w:num w:numId="7">
    <w:abstractNumId w:val="16"/>
  </w:num>
  <w:num w:numId="8">
    <w:abstractNumId w:val="3"/>
  </w:num>
  <w:num w:numId="9">
    <w:abstractNumId w:val="5"/>
  </w:num>
  <w:num w:numId="10">
    <w:abstractNumId w:val="17"/>
  </w:num>
  <w:num w:numId="11">
    <w:abstractNumId w:val="14"/>
  </w:num>
  <w:num w:numId="12">
    <w:abstractNumId w:val="16"/>
  </w:num>
  <w:num w:numId="13">
    <w:abstractNumId w:val="16"/>
  </w:num>
  <w:num w:numId="14">
    <w:abstractNumId w:val="16"/>
  </w:num>
  <w:num w:numId="15">
    <w:abstractNumId w:val="16"/>
  </w:num>
  <w:num w:numId="16">
    <w:abstractNumId w:val="2"/>
  </w:num>
  <w:num w:numId="17">
    <w:abstractNumId w:val="16"/>
  </w:num>
  <w:num w:numId="18">
    <w:abstractNumId w:val="16"/>
  </w:num>
  <w:num w:numId="19">
    <w:abstractNumId w:val="16"/>
  </w:num>
  <w:num w:numId="20">
    <w:abstractNumId w:val="16"/>
  </w:num>
  <w:num w:numId="21">
    <w:abstractNumId w:val="16"/>
  </w:num>
  <w:num w:numId="22">
    <w:abstractNumId w:val="8"/>
  </w:num>
  <w:num w:numId="23">
    <w:abstractNumId w:val="18"/>
  </w:num>
  <w:num w:numId="24">
    <w:abstractNumId w:val="0"/>
  </w:num>
  <w:num w:numId="25">
    <w:abstractNumId w:val="4"/>
  </w:num>
  <w:num w:numId="26">
    <w:abstractNumId w:val="12"/>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85"/>
    <w:rsid w:val="00015855"/>
    <w:rsid w:val="00016CC3"/>
    <w:rsid w:val="00020C26"/>
    <w:rsid w:val="000237CB"/>
    <w:rsid w:val="0002451B"/>
    <w:rsid w:val="00025470"/>
    <w:rsid w:val="0004616B"/>
    <w:rsid w:val="00047E97"/>
    <w:rsid w:val="00051231"/>
    <w:rsid w:val="00067057"/>
    <w:rsid w:val="00081E78"/>
    <w:rsid w:val="00083D75"/>
    <w:rsid w:val="000844B3"/>
    <w:rsid w:val="000866AD"/>
    <w:rsid w:val="000A7C3C"/>
    <w:rsid w:val="000B5701"/>
    <w:rsid w:val="000B62EC"/>
    <w:rsid w:val="000C63E2"/>
    <w:rsid w:val="000D181A"/>
    <w:rsid w:val="000F41CD"/>
    <w:rsid w:val="001049BA"/>
    <w:rsid w:val="00116C46"/>
    <w:rsid w:val="001204C3"/>
    <w:rsid w:val="00123043"/>
    <w:rsid w:val="00131CC9"/>
    <w:rsid w:val="00141551"/>
    <w:rsid w:val="00144127"/>
    <w:rsid w:val="00161DCA"/>
    <w:rsid w:val="00165395"/>
    <w:rsid w:val="00173CF0"/>
    <w:rsid w:val="001774D6"/>
    <w:rsid w:val="00181D13"/>
    <w:rsid w:val="001915DA"/>
    <w:rsid w:val="001A6CE0"/>
    <w:rsid w:val="001B4015"/>
    <w:rsid w:val="001C7088"/>
    <w:rsid w:val="001D2E96"/>
    <w:rsid w:val="001E28CD"/>
    <w:rsid w:val="001E694F"/>
    <w:rsid w:val="001F6747"/>
    <w:rsid w:val="002007E8"/>
    <w:rsid w:val="00216BC9"/>
    <w:rsid w:val="00217D10"/>
    <w:rsid w:val="00220C72"/>
    <w:rsid w:val="002321E1"/>
    <w:rsid w:val="002354FF"/>
    <w:rsid w:val="00244295"/>
    <w:rsid w:val="00254668"/>
    <w:rsid w:val="00260011"/>
    <w:rsid w:val="002602DC"/>
    <w:rsid w:val="00262D81"/>
    <w:rsid w:val="00266F74"/>
    <w:rsid w:val="0026731C"/>
    <w:rsid w:val="00275360"/>
    <w:rsid w:val="002766D2"/>
    <w:rsid w:val="002A0EF9"/>
    <w:rsid w:val="002A119B"/>
    <w:rsid w:val="002C7A2B"/>
    <w:rsid w:val="002D2186"/>
    <w:rsid w:val="002E13AC"/>
    <w:rsid w:val="002E3CDC"/>
    <w:rsid w:val="002E409F"/>
    <w:rsid w:val="002E633F"/>
    <w:rsid w:val="002F3B1C"/>
    <w:rsid w:val="00302E64"/>
    <w:rsid w:val="00307A0C"/>
    <w:rsid w:val="00334CAE"/>
    <w:rsid w:val="0033562A"/>
    <w:rsid w:val="00383E50"/>
    <w:rsid w:val="003943F1"/>
    <w:rsid w:val="00396E00"/>
    <w:rsid w:val="003A0807"/>
    <w:rsid w:val="003A71BF"/>
    <w:rsid w:val="003B5545"/>
    <w:rsid w:val="003C4454"/>
    <w:rsid w:val="003D1BE0"/>
    <w:rsid w:val="003E14F2"/>
    <w:rsid w:val="003E5CC5"/>
    <w:rsid w:val="00416E22"/>
    <w:rsid w:val="004178C7"/>
    <w:rsid w:val="00426AA1"/>
    <w:rsid w:val="00427A62"/>
    <w:rsid w:val="00430F9B"/>
    <w:rsid w:val="0044307F"/>
    <w:rsid w:val="00444A40"/>
    <w:rsid w:val="004566C3"/>
    <w:rsid w:val="004800C7"/>
    <w:rsid w:val="00493BAD"/>
    <w:rsid w:val="004944EE"/>
    <w:rsid w:val="00494781"/>
    <w:rsid w:val="004A7210"/>
    <w:rsid w:val="004E4D16"/>
    <w:rsid w:val="004F56D9"/>
    <w:rsid w:val="004F604F"/>
    <w:rsid w:val="00507E21"/>
    <w:rsid w:val="005127BD"/>
    <w:rsid w:val="00526303"/>
    <w:rsid w:val="00534B62"/>
    <w:rsid w:val="0055415C"/>
    <w:rsid w:val="005720CF"/>
    <w:rsid w:val="0057651F"/>
    <w:rsid w:val="005842A0"/>
    <w:rsid w:val="00592DA4"/>
    <w:rsid w:val="005939BD"/>
    <w:rsid w:val="005A2C86"/>
    <w:rsid w:val="005A4382"/>
    <w:rsid w:val="005A4DB4"/>
    <w:rsid w:val="005B0E69"/>
    <w:rsid w:val="005B5C49"/>
    <w:rsid w:val="005C0368"/>
    <w:rsid w:val="005C17D8"/>
    <w:rsid w:val="005C2DE6"/>
    <w:rsid w:val="005D4E43"/>
    <w:rsid w:val="005D6C04"/>
    <w:rsid w:val="005E629D"/>
    <w:rsid w:val="005F6E4D"/>
    <w:rsid w:val="005F76F0"/>
    <w:rsid w:val="00600265"/>
    <w:rsid w:val="00601A8D"/>
    <w:rsid w:val="00643C56"/>
    <w:rsid w:val="0065226D"/>
    <w:rsid w:val="00652ECF"/>
    <w:rsid w:val="00663C35"/>
    <w:rsid w:val="00677C4B"/>
    <w:rsid w:val="006B0E3E"/>
    <w:rsid w:val="006C7A87"/>
    <w:rsid w:val="006D2241"/>
    <w:rsid w:val="006E056F"/>
    <w:rsid w:val="006E23BC"/>
    <w:rsid w:val="006E4C7E"/>
    <w:rsid w:val="006F1BF7"/>
    <w:rsid w:val="006F5EB3"/>
    <w:rsid w:val="007030B9"/>
    <w:rsid w:val="00710DD2"/>
    <w:rsid w:val="007122CB"/>
    <w:rsid w:val="00715146"/>
    <w:rsid w:val="007276DD"/>
    <w:rsid w:val="0073452C"/>
    <w:rsid w:val="00735D34"/>
    <w:rsid w:val="007405B4"/>
    <w:rsid w:val="007407E6"/>
    <w:rsid w:val="007523A4"/>
    <w:rsid w:val="0077163F"/>
    <w:rsid w:val="0077353E"/>
    <w:rsid w:val="0078018C"/>
    <w:rsid w:val="007821C1"/>
    <w:rsid w:val="00785CE0"/>
    <w:rsid w:val="00792566"/>
    <w:rsid w:val="007A57A1"/>
    <w:rsid w:val="007C1015"/>
    <w:rsid w:val="007D3B31"/>
    <w:rsid w:val="007D5C5A"/>
    <w:rsid w:val="007F7D46"/>
    <w:rsid w:val="00800EC9"/>
    <w:rsid w:val="00810A28"/>
    <w:rsid w:val="00820A4A"/>
    <w:rsid w:val="008236AD"/>
    <w:rsid w:val="00835269"/>
    <w:rsid w:val="00853600"/>
    <w:rsid w:val="0085654C"/>
    <w:rsid w:val="00873988"/>
    <w:rsid w:val="00892089"/>
    <w:rsid w:val="008A6BC5"/>
    <w:rsid w:val="008C0BD5"/>
    <w:rsid w:val="008C2A96"/>
    <w:rsid w:val="008C4D2B"/>
    <w:rsid w:val="008C5111"/>
    <w:rsid w:val="008D1263"/>
    <w:rsid w:val="008D20DA"/>
    <w:rsid w:val="008E4333"/>
    <w:rsid w:val="008F25A0"/>
    <w:rsid w:val="00906F7F"/>
    <w:rsid w:val="0091594F"/>
    <w:rsid w:val="0092738C"/>
    <w:rsid w:val="009275E6"/>
    <w:rsid w:val="00941BF3"/>
    <w:rsid w:val="009575E8"/>
    <w:rsid w:val="009657F1"/>
    <w:rsid w:val="00977DB3"/>
    <w:rsid w:val="009812EB"/>
    <w:rsid w:val="009920A0"/>
    <w:rsid w:val="009967D4"/>
    <w:rsid w:val="00997ECF"/>
    <w:rsid w:val="009A1CB8"/>
    <w:rsid w:val="009A2383"/>
    <w:rsid w:val="009A6DC7"/>
    <w:rsid w:val="009B4607"/>
    <w:rsid w:val="009C53D1"/>
    <w:rsid w:val="009D25A4"/>
    <w:rsid w:val="009D71BA"/>
    <w:rsid w:val="009E004B"/>
    <w:rsid w:val="009E01FB"/>
    <w:rsid w:val="009E1A58"/>
    <w:rsid w:val="009E2364"/>
    <w:rsid w:val="009F15BD"/>
    <w:rsid w:val="009F2E68"/>
    <w:rsid w:val="009F50E8"/>
    <w:rsid w:val="00A019FC"/>
    <w:rsid w:val="00A0200E"/>
    <w:rsid w:val="00A3739B"/>
    <w:rsid w:val="00A5144E"/>
    <w:rsid w:val="00A70220"/>
    <w:rsid w:val="00A8540D"/>
    <w:rsid w:val="00AA44B3"/>
    <w:rsid w:val="00AA6B0E"/>
    <w:rsid w:val="00AA7A4C"/>
    <w:rsid w:val="00AB25D7"/>
    <w:rsid w:val="00AB691A"/>
    <w:rsid w:val="00AB6B98"/>
    <w:rsid w:val="00AD4A31"/>
    <w:rsid w:val="00AE1B05"/>
    <w:rsid w:val="00AE32C9"/>
    <w:rsid w:val="00B07686"/>
    <w:rsid w:val="00B17EEC"/>
    <w:rsid w:val="00B26685"/>
    <w:rsid w:val="00B42BB6"/>
    <w:rsid w:val="00B61796"/>
    <w:rsid w:val="00BA181E"/>
    <w:rsid w:val="00BA5254"/>
    <w:rsid w:val="00BA6C95"/>
    <w:rsid w:val="00BB3E9E"/>
    <w:rsid w:val="00BD20D8"/>
    <w:rsid w:val="00BE3B83"/>
    <w:rsid w:val="00BE4699"/>
    <w:rsid w:val="00BF22D8"/>
    <w:rsid w:val="00BF588A"/>
    <w:rsid w:val="00BF7D27"/>
    <w:rsid w:val="00C078B1"/>
    <w:rsid w:val="00C14C2F"/>
    <w:rsid w:val="00C201C1"/>
    <w:rsid w:val="00C212DB"/>
    <w:rsid w:val="00C27F5C"/>
    <w:rsid w:val="00C40B1E"/>
    <w:rsid w:val="00C5090C"/>
    <w:rsid w:val="00C5276B"/>
    <w:rsid w:val="00C60E7F"/>
    <w:rsid w:val="00C61B09"/>
    <w:rsid w:val="00C638CA"/>
    <w:rsid w:val="00C63EE5"/>
    <w:rsid w:val="00C641BC"/>
    <w:rsid w:val="00C71BEA"/>
    <w:rsid w:val="00C74276"/>
    <w:rsid w:val="00C83715"/>
    <w:rsid w:val="00C85588"/>
    <w:rsid w:val="00C8757C"/>
    <w:rsid w:val="00C92000"/>
    <w:rsid w:val="00CA2043"/>
    <w:rsid w:val="00CA71AF"/>
    <w:rsid w:val="00CB0ACA"/>
    <w:rsid w:val="00CB1D18"/>
    <w:rsid w:val="00CB35AE"/>
    <w:rsid w:val="00CC1658"/>
    <w:rsid w:val="00CC7B0E"/>
    <w:rsid w:val="00CD5E93"/>
    <w:rsid w:val="00CD6ABF"/>
    <w:rsid w:val="00CE3115"/>
    <w:rsid w:val="00CE5F67"/>
    <w:rsid w:val="00CE6294"/>
    <w:rsid w:val="00D06CC3"/>
    <w:rsid w:val="00D07DFA"/>
    <w:rsid w:val="00D222B0"/>
    <w:rsid w:val="00D23723"/>
    <w:rsid w:val="00D251A8"/>
    <w:rsid w:val="00D25D26"/>
    <w:rsid w:val="00D40866"/>
    <w:rsid w:val="00D456CE"/>
    <w:rsid w:val="00D460B4"/>
    <w:rsid w:val="00D76379"/>
    <w:rsid w:val="00D806F9"/>
    <w:rsid w:val="00DA2835"/>
    <w:rsid w:val="00DA2F8A"/>
    <w:rsid w:val="00DC323E"/>
    <w:rsid w:val="00DC35CD"/>
    <w:rsid w:val="00DC6D58"/>
    <w:rsid w:val="00DC74D3"/>
    <w:rsid w:val="00DD35DB"/>
    <w:rsid w:val="00DF03B8"/>
    <w:rsid w:val="00DF1074"/>
    <w:rsid w:val="00DF5C2D"/>
    <w:rsid w:val="00E00198"/>
    <w:rsid w:val="00E00C8F"/>
    <w:rsid w:val="00E100CB"/>
    <w:rsid w:val="00E10AF4"/>
    <w:rsid w:val="00E1499D"/>
    <w:rsid w:val="00E35738"/>
    <w:rsid w:val="00E503B5"/>
    <w:rsid w:val="00E60ADD"/>
    <w:rsid w:val="00E83203"/>
    <w:rsid w:val="00EA2277"/>
    <w:rsid w:val="00EA4D72"/>
    <w:rsid w:val="00EA60A3"/>
    <w:rsid w:val="00EA73EE"/>
    <w:rsid w:val="00EB0B4C"/>
    <w:rsid w:val="00EB4901"/>
    <w:rsid w:val="00EB6ABD"/>
    <w:rsid w:val="00ED2BA7"/>
    <w:rsid w:val="00ED3230"/>
    <w:rsid w:val="00EF1A5A"/>
    <w:rsid w:val="00EF202A"/>
    <w:rsid w:val="00EF31F8"/>
    <w:rsid w:val="00EF53F9"/>
    <w:rsid w:val="00F016B7"/>
    <w:rsid w:val="00F14857"/>
    <w:rsid w:val="00F17DC3"/>
    <w:rsid w:val="00F20919"/>
    <w:rsid w:val="00F270F2"/>
    <w:rsid w:val="00F30C51"/>
    <w:rsid w:val="00F36150"/>
    <w:rsid w:val="00F41F8F"/>
    <w:rsid w:val="00F51E99"/>
    <w:rsid w:val="00F540BF"/>
    <w:rsid w:val="00F63DE6"/>
    <w:rsid w:val="00F654EB"/>
    <w:rsid w:val="00F70E63"/>
    <w:rsid w:val="00F71D65"/>
    <w:rsid w:val="00F74F43"/>
    <w:rsid w:val="00F761BA"/>
    <w:rsid w:val="00F8212E"/>
    <w:rsid w:val="00F84457"/>
    <w:rsid w:val="00F8639B"/>
    <w:rsid w:val="00F874B8"/>
    <w:rsid w:val="00F900F1"/>
    <w:rsid w:val="00FA1573"/>
    <w:rsid w:val="00FA7A9D"/>
    <w:rsid w:val="00FB2C1D"/>
    <w:rsid w:val="00FB7372"/>
    <w:rsid w:val="00FC7614"/>
    <w:rsid w:val="00FD1CFA"/>
    <w:rsid w:val="00FD2A08"/>
    <w:rsid w:val="00FD3591"/>
    <w:rsid w:val="00FD4F0E"/>
    <w:rsid w:val="00FE5309"/>
    <w:rsid w:val="00FE59A3"/>
    <w:rsid w:val="00FF1094"/>
    <w:rsid w:val="00FF1C33"/>
    <w:rsid w:val="00FF5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paragraph" w:styleId="Ttulo1">
    <w:name w:val="heading 1"/>
    <w:basedOn w:val="Normal"/>
    <w:next w:val="Normal"/>
    <w:uiPriority w:val="9"/>
    <w:qFormat/>
    <w:rsid w:val="00C5090C"/>
    <w:pPr>
      <w:keepNext/>
      <w:keepLines/>
      <w:numPr>
        <w:numId w:val="7"/>
      </w:numPr>
      <w:spacing w:before="480" w:after="0"/>
      <w:outlineLvl w:val="0"/>
    </w:pPr>
    <w:rPr>
      <w:rFonts w:eastAsia="Times New Roman" w:cs="Times New Roman"/>
      <w:b/>
      <w:bCs/>
      <w:szCs w:val="28"/>
    </w:rPr>
  </w:style>
  <w:style w:type="paragraph" w:styleId="Ttulo2">
    <w:name w:val="heading 2"/>
    <w:basedOn w:val="Normal"/>
    <w:next w:val="Normal"/>
    <w:qFormat/>
    <w:pPr>
      <w:keepNext/>
      <w:keepLines/>
      <w:tabs>
        <w:tab w:val="num" w:pos="576"/>
      </w:tabs>
      <w:spacing w:before="200" w:after="0"/>
      <w:ind w:left="576" w:hanging="576"/>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cs="Times New Roman"/>
    </w:rPr>
  </w:style>
  <w:style w:type="character" w:customStyle="1" w:styleId="Fuentedeprrafopredeter1">
    <w:name w:val="Fuente de párrafo predeter.1"/>
  </w:style>
  <w:style w:type="character" w:customStyle="1" w:styleId="TextoindependienteCar">
    <w:name w:val="Texto independiente Car"/>
    <w:rPr>
      <w:rFonts w:ascii="Arial" w:hAnsi="Arial" w:cs="Arial"/>
      <w:sz w:val="20"/>
      <w:szCs w:val="20"/>
      <w:lang w:val="es-ES_tradnl"/>
    </w:rPr>
  </w:style>
  <w:style w:type="character" w:customStyle="1" w:styleId="TtuloCar">
    <w:name w:val="Título Car"/>
    <w:rPr>
      <w:rFonts w:ascii="Arial" w:hAnsi="Arial" w:cs="Arial"/>
      <w:b/>
      <w:bCs/>
      <w:sz w:val="20"/>
      <w:szCs w:val="20"/>
      <w:lang w:val="es-ES_tradnl"/>
    </w:rPr>
  </w:style>
  <w:style w:type="character" w:customStyle="1" w:styleId="TextodegloboCar">
    <w:name w:val="Texto de globo Car"/>
    <w:rPr>
      <w:rFonts w:ascii="Tahoma" w:hAnsi="Tahoma" w:cs="Tahoma"/>
      <w:sz w:val="16"/>
      <w:szCs w:val="16"/>
    </w:rPr>
  </w:style>
  <w:style w:type="character" w:customStyle="1" w:styleId="EncabezadoCar">
    <w:name w:val="Encabezado Car"/>
    <w:rPr>
      <w:rFonts w:ascii="Calibri" w:hAnsi="Calibri" w:cs="Calibri"/>
    </w:rPr>
  </w:style>
  <w:style w:type="character" w:customStyle="1" w:styleId="PiedepginaCar">
    <w:name w:val="Pie de página Car"/>
    <w:rPr>
      <w:rFonts w:ascii="Calibri" w:hAnsi="Calibri" w:cs="Calibri"/>
    </w:rPr>
  </w:style>
  <w:style w:type="character" w:customStyle="1" w:styleId="WW8Num7z1">
    <w:name w:val="WW8Num7z1"/>
    <w:rPr>
      <w:rFonts w:ascii="Courier New" w:hAnsi="Courier New"/>
    </w:rPr>
  </w:style>
  <w:style w:type="character" w:styleId="Hipervnculo">
    <w:name w:val="Hyperlink"/>
    <w:uiPriority w:val="99"/>
    <w:rPr>
      <w:rFonts w:cs="Times New Roman"/>
      <w:color w:val="0000FF"/>
      <w:u w:val="single"/>
    </w:rPr>
  </w:style>
  <w:style w:type="character" w:customStyle="1" w:styleId="TextonotapieCar">
    <w:name w:val="Texto nota pie Car"/>
    <w:aliases w:val="fn Car,footnote text Car,FOOTNOTES Car,single space Car,Char Char Car,Footnote Car,Car Car,fn Car1,footnote text Car1,FOOTNOTES Car1,single space Car1,Footnote Text Char Char Char Char Char Car,Footnote Text Char Char Char Char Car"/>
    <w:rPr>
      <w:rFonts w:ascii="Calibri" w:hAnsi="Calibri" w:cs="Calibri"/>
      <w:sz w:val="20"/>
      <w:szCs w:val="20"/>
    </w:rPr>
  </w:style>
  <w:style w:type="character" w:customStyle="1" w:styleId="Smbolodenotaalpie">
    <w:name w:val="Símbolo de nota al pie"/>
    <w:rPr>
      <w:rFonts w:cs="Times New Roman"/>
      <w:vertAlign w:val="superscript"/>
    </w:rPr>
  </w:style>
  <w:style w:type="character" w:customStyle="1" w:styleId="Ttulo1Car">
    <w:name w:val="Título 1 Car"/>
    <w:rPr>
      <w:rFonts w:ascii="Cambria" w:eastAsia="Times New Roman" w:hAnsi="Cambria" w:cs="Times New Roman"/>
      <w:b/>
      <w:bCs/>
      <w:color w:val="365F91"/>
      <w:sz w:val="28"/>
      <w:szCs w:val="28"/>
      <w:lang w:val="es-ES"/>
    </w:rPr>
  </w:style>
  <w:style w:type="character" w:customStyle="1" w:styleId="Ttulo2Car">
    <w:name w:val="Título 2 Car"/>
    <w:rPr>
      <w:rFonts w:ascii="Cambria" w:eastAsia="Times New Roman" w:hAnsi="Cambria" w:cs="Times New Roman"/>
      <w:b/>
      <w:bCs/>
      <w:color w:val="4F81BD"/>
      <w:sz w:val="26"/>
      <w:szCs w:val="26"/>
      <w:lang w:val="es-ES"/>
    </w:rPr>
  </w:style>
  <w:style w:type="character" w:customStyle="1" w:styleId="EncabezadodemensajeCar">
    <w:name w:val="Encabezado de mensaje Car"/>
    <w:rPr>
      <w:rFonts w:ascii="Cambria" w:eastAsia="Times New Roman" w:hAnsi="Cambria" w:cs="Times New Roman"/>
      <w:sz w:val="24"/>
      <w:szCs w:val="24"/>
      <w:shd w:val="clear" w:color="auto" w:fill="CCCCCC"/>
      <w:lang w:val="es-ES"/>
    </w:rPr>
  </w:style>
  <w:style w:type="character" w:customStyle="1" w:styleId="SubttuloCar">
    <w:name w:val="Subtítulo Car"/>
    <w:rPr>
      <w:rFonts w:ascii="Cambria" w:eastAsia="Times New Roman" w:hAnsi="Cambria" w:cs="Times New Roman"/>
      <w:i/>
      <w:iCs/>
      <w:color w:val="4F81BD"/>
      <w:spacing w:val="15"/>
      <w:sz w:val="24"/>
      <w:szCs w:val="24"/>
      <w:lang w:val="es-ES"/>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widowControl w:val="0"/>
      <w:spacing w:after="0" w:line="240" w:lineRule="auto"/>
      <w:jc w:val="both"/>
    </w:pPr>
    <w:rPr>
      <w:rFonts w:ascii="Arial" w:eastAsia="Times New Roman" w:hAnsi="Arial" w:cs="Arial"/>
      <w:lang w:val="es-ES_tradnl"/>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tulo">
    <w:name w:val="Title"/>
    <w:basedOn w:val="Normal"/>
    <w:next w:val="Subttulo"/>
    <w:qFormat/>
    <w:pPr>
      <w:widowControl w:val="0"/>
      <w:spacing w:after="0" w:line="240" w:lineRule="auto"/>
      <w:jc w:val="center"/>
    </w:pPr>
    <w:rPr>
      <w:rFonts w:ascii="Arial" w:eastAsia="Times New Roman" w:hAnsi="Arial" w:cs="Arial"/>
      <w:b/>
      <w:bCs/>
      <w:lang w:val="es-ES_tradnl"/>
    </w:rPr>
  </w:style>
  <w:style w:type="paragraph" w:styleId="Subttulo">
    <w:name w:val="Subtitle"/>
    <w:basedOn w:val="Normal"/>
    <w:next w:val="Normal"/>
    <w:qFormat/>
    <w:rPr>
      <w:rFonts w:ascii="Cambria" w:eastAsia="Times New Roman" w:hAnsi="Cambria" w:cs="Times New Roman"/>
      <w:i/>
      <w:iCs/>
      <w:color w:val="4F81BD"/>
      <w:spacing w:val="15"/>
      <w:sz w:val="24"/>
      <w:szCs w:val="24"/>
    </w:rPr>
  </w:style>
  <w:style w:type="paragraph" w:styleId="Textodeglobo">
    <w:name w:val="Balloon Text"/>
    <w:basedOn w:val="Normal"/>
    <w:pPr>
      <w:spacing w:after="0" w:line="240" w:lineRule="auto"/>
    </w:pPr>
    <w:rPr>
      <w:rFonts w:ascii="Tahoma" w:hAnsi="Tahoma" w:cs="Tahoma"/>
      <w:sz w:val="16"/>
      <w:szCs w:val="16"/>
    </w:rPr>
  </w:style>
  <w:style w:type="paragraph" w:styleId="Encabezado">
    <w:name w:val="header"/>
    <w:basedOn w:val="Normal"/>
    <w:semiHidden/>
    <w:pPr>
      <w:spacing w:after="0" w:line="240" w:lineRule="auto"/>
    </w:pPr>
  </w:style>
  <w:style w:type="paragraph" w:styleId="Piedepgina">
    <w:name w:val="footer"/>
    <w:basedOn w:val="Normal"/>
    <w:semiHidden/>
    <w:pPr>
      <w:spacing w:after="0" w:line="240" w:lineRule="auto"/>
    </w:pPr>
  </w:style>
  <w:style w:type="paragraph" w:styleId="Textonotapie">
    <w:name w:val="footnote text"/>
    <w:aliases w:val="fn,footnote text,FOOTNOTES,single space,Char Char,Footnote,Car,Footnote Text Char Char Char Char Char,Footnote Text Char Char Char Char,Footnote reference,FA Fu,Footnote Text Char Char Char,Footnote Text Char,texto de nota al pi"/>
    <w:basedOn w:val="Normal"/>
    <w:pPr>
      <w:spacing w:after="0" w:line="240" w:lineRule="auto"/>
    </w:pPr>
    <w:rPr>
      <w:sz w:val="20"/>
      <w:szCs w:val="20"/>
    </w:rPr>
  </w:style>
  <w:style w:type="paragraph" w:customStyle="1" w:styleId="CharCharCharChar">
    <w:name w:val="Char Char Char Char"/>
    <w:basedOn w:val="Normal"/>
    <w:pPr>
      <w:spacing w:after="160" w:line="240" w:lineRule="exact"/>
    </w:pPr>
    <w:rPr>
      <w:rFonts w:ascii="Verdana" w:eastAsia="Times New Roman" w:hAnsi="Verdana" w:cs="Times New Roman"/>
      <w:sz w:val="20"/>
      <w:szCs w:val="20"/>
      <w:lang w:val="en-US"/>
    </w:rPr>
  </w:style>
  <w:style w:type="paragraph" w:customStyle="1" w:styleId="Encabezadodemensaje1">
    <w:name w:val="Encabezado de mensaje1"/>
    <w:basedOn w:val="Normal"/>
    <w:pPr>
      <w:shd w:val="clear" w:color="auto" w:fill="CCCCCC"/>
      <w:spacing w:after="0" w:line="240" w:lineRule="auto"/>
      <w:ind w:left="1134" w:hanging="1134"/>
    </w:pPr>
    <w:rPr>
      <w:rFonts w:ascii="Cambria" w:eastAsia="Times New Roman" w:hAnsi="Cambria" w:cs="Times New Roman"/>
      <w:sz w:val="24"/>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rsid w:val="00C5090C"/>
    <w:pPr>
      <w:suppressAutoHyphens w:val="0"/>
      <w:ind w:left="720"/>
      <w:contextualSpacing/>
      <w:jc w:val="both"/>
    </w:pPr>
    <w:rPr>
      <w:rFonts w:eastAsia="Times New Roman" w:cs="Times New Roman"/>
      <w:szCs w:val="20"/>
      <w:lang w:val="es-CO" w:eastAsia="en-US" w:bidi="en-US"/>
    </w:rPr>
  </w:style>
  <w:style w:type="character" w:styleId="Refdenotaalpie">
    <w:name w:val="footnote reference"/>
    <w:aliases w:val="referencia nota al pie,Texto de nota al pie"/>
    <w:unhideWhenUsed/>
    <w:rsid w:val="00C5090C"/>
    <w:rPr>
      <w:vertAlign w:val="superscript"/>
    </w:rPr>
  </w:style>
  <w:style w:type="paragraph" w:customStyle="1" w:styleId="ListParagraph1">
    <w:name w:val="List Paragraph1"/>
    <w:basedOn w:val="Normal"/>
    <w:uiPriority w:val="99"/>
    <w:rsid w:val="00C5090C"/>
    <w:pPr>
      <w:suppressAutoHyphens w:val="0"/>
      <w:ind w:left="708"/>
    </w:pPr>
    <w:rPr>
      <w:rFonts w:eastAsia="Times New Roman"/>
      <w:lang w:val="es-CO" w:eastAsia="en-US"/>
    </w:rPr>
  </w:style>
  <w:style w:type="paragraph" w:styleId="Lista2">
    <w:name w:val="List 2"/>
    <w:basedOn w:val="Normal"/>
    <w:uiPriority w:val="99"/>
    <w:semiHidden/>
    <w:unhideWhenUsed/>
    <w:rsid w:val="00C5090C"/>
    <w:pPr>
      <w:suppressAutoHyphens w:val="0"/>
      <w:ind w:left="566" w:hanging="283"/>
      <w:contextualSpacing/>
      <w:jc w:val="both"/>
    </w:pPr>
    <w:rPr>
      <w:rFonts w:eastAsia="Times New Roman" w:cs="Times New Roman"/>
      <w:szCs w:val="20"/>
      <w:lang w:val="es-CO" w:eastAsia="en-US" w:bidi="en-US"/>
    </w:rPr>
  </w:style>
  <w:style w:type="paragraph" w:styleId="Textodebloque">
    <w:name w:val="Block Text"/>
    <w:basedOn w:val="Normal"/>
    <w:rsid w:val="00C5090C"/>
    <w:pPr>
      <w:suppressAutoHyphens w:val="0"/>
      <w:spacing w:after="0" w:line="240" w:lineRule="auto"/>
      <w:ind w:left="2124" w:right="617" w:hanging="1419"/>
      <w:jc w:val="both"/>
    </w:pPr>
    <w:rPr>
      <w:rFonts w:ascii="Arial" w:eastAsia="Times New Roman" w:hAnsi="Arial" w:cs="Arial"/>
      <w:b/>
      <w:bCs/>
      <w:i/>
      <w:iCs/>
      <w:lang w:val="es-ES_tradnl" w:eastAsia="es-ES"/>
    </w:rPr>
  </w:style>
  <w:style w:type="paragraph" w:styleId="TDC1">
    <w:name w:val="toc 1"/>
    <w:basedOn w:val="Normal"/>
    <w:next w:val="Normal"/>
    <w:autoRedefine/>
    <w:uiPriority w:val="39"/>
    <w:unhideWhenUsed/>
    <w:rsid w:val="00C5090C"/>
  </w:style>
  <w:style w:type="paragraph" w:styleId="Listaconvietas">
    <w:name w:val="List Bullet"/>
    <w:basedOn w:val="Normal"/>
    <w:uiPriority w:val="99"/>
    <w:unhideWhenUsed/>
    <w:rsid w:val="00BA5254"/>
    <w:pPr>
      <w:numPr>
        <w:numId w:val="24"/>
      </w:numPr>
      <w:contextualSpacing/>
    </w:pPr>
  </w:style>
  <w:style w:type="paragraph" w:customStyle="1" w:styleId="Estilo1">
    <w:name w:val="Estilo1"/>
    <w:basedOn w:val="Normal"/>
    <w:rsid w:val="0033562A"/>
    <w:pPr>
      <w:suppressAutoHyphens w:val="0"/>
      <w:spacing w:after="0" w:line="240" w:lineRule="auto"/>
    </w:pPr>
    <w:rPr>
      <w:rFonts w:ascii="Arial" w:eastAsia="Times New Roman" w:hAnsi="Arial" w:cs="Times New Roman"/>
      <w:sz w:val="24"/>
      <w:szCs w:val="24"/>
      <w:lang w:eastAsia="es-ES"/>
    </w:rPr>
  </w:style>
  <w:style w:type="paragraph" w:customStyle="1" w:styleId="Style28">
    <w:name w:val="Style28"/>
    <w:basedOn w:val="Normal"/>
    <w:rsid w:val="00F51E99"/>
    <w:pPr>
      <w:widowControl w:val="0"/>
      <w:suppressAutoHyphens w:val="0"/>
      <w:autoSpaceDE w:val="0"/>
      <w:autoSpaceDN w:val="0"/>
      <w:adjustRightInd w:val="0"/>
      <w:spacing w:after="0" w:line="199" w:lineRule="exact"/>
      <w:ind w:firstLine="451"/>
      <w:jc w:val="both"/>
    </w:pPr>
    <w:rPr>
      <w:rFonts w:ascii="Arial" w:eastAsia="Times New Roman" w:hAnsi="Arial" w:cs="Times New Roman"/>
      <w:sz w:val="24"/>
      <w:szCs w:val="24"/>
      <w:lang w:eastAsia="es-ES"/>
    </w:rPr>
  </w:style>
  <w:style w:type="character" w:styleId="Refdecomentario">
    <w:name w:val="annotation reference"/>
    <w:uiPriority w:val="99"/>
    <w:semiHidden/>
    <w:unhideWhenUsed/>
    <w:rsid w:val="00A70220"/>
    <w:rPr>
      <w:sz w:val="16"/>
      <w:szCs w:val="16"/>
    </w:rPr>
  </w:style>
  <w:style w:type="paragraph" w:styleId="Textocomentario">
    <w:name w:val="annotation text"/>
    <w:basedOn w:val="Normal"/>
    <w:link w:val="TextocomentarioCar"/>
    <w:uiPriority w:val="99"/>
    <w:semiHidden/>
    <w:unhideWhenUsed/>
    <w:rsid w:val="00A70220"/>
    <w:rPr>
      <w:sz w:val="20"/>
      <w:szCs w:val="20"/>
    </w:rPr>
  </w:style>
  <w:style w:type="character" w:customStyle="1" w:styleId="TextocomentarioCar">
    <w:name w:val="Texto comentario Car"/>
    <w:link w:val="Textocomentario"/>
    <w:uiPriority w:val="99"/>
    <w:semiHidden/>
    <w:rsid w:val="00A70220"/>
    <w:rPr>
      <w:rFonts w:ascii="Calibri" w:eastAsia="Calibri" w:hAnsi="Calibri" w:cs="Calibri"/>
      <w:lang w:val="es-ES" w:eastAsia="ar-SA"/>
    </w:rPr>
  </w:style>
  <w:style w:type="paragraph" w:styleId="Asuntodelcomentario">
    <w:name w:val="annotation subject"/>
    <w:basedOn w:val="Textocomentario"/>
    <w:next w:val="Textocomentario"/>
    <w:link w:val="AsuntodelcomentarioCar"/>
    <w:uiPriority w:val="99"/>
    <w:semiHidden/>
    <w:unhideWhenUsed/>
    <w:rsid w:val="00A70220"/>
    <w:rPr>
      <w:b/>
      <w:bCs/>
    </w:rPr>
  </w:style>
  <w:style w:type="character" w:customStyle="1" w:styleId="AsuntodelcomentarioCar">
    <w:name w:val="Asunto del comentario Car"/>
    <w:link w:val="Asuntodelcomentario"/>
    <w:uiPriority w:val="99"/>
    <w:semiHidden/>
    <w:rsid w:val="00A70220"/>
    <w:rPr>
      <w:rFonts w:ascii="Calibri" w:eastAsia="Calibri" w:hAnsi="Calibri" w:cs="Calibri"/>
      <w:b/>
      <w:bCs/>
      <w:lang w:val="es-ES" w:eastAsia="ar-SA"/>
    </w:rPr>
  </w:style>
  <w:style w:type="paragraph" w:styleId="Revisin">
    <w:name w:val="Revision"/>
    <w:hidden/>
    <w:uiPriority w:val="99"/>
    <w:semiHidden/>
    <w:rsid w:val="00A70220"/>
    <w:rPr>
      <w:rFonts w:ascii="Calibri" w:eastAsia="Calibri" w:hAnsi="Calibri" w:cs="Calibri"/>
      <w:sz w:val="22"/>
      <w:szCs w:val="22"/>
      <w:lang w:val="es-ES" w:eastAsia="ar-SA"/>
    </w:rPr>
  </w:style>
  <w:style w:type="character" w:styleId="Textodelmarcadordeposicin">
    <w:name w:val="Placeholder Text"/>
    <w:basedOn w:val="Fuentedeprrafopredeter"/>
    <w:uiPriority w:val="99"/>
    <w:semiHidden/>
    <w:rsid w:val="00DC74D3"/>
    <w:rPr>
      <w:color w:val="808080"/>
    </w:rPr>
  </w:style>
  <w:style w:type="table" w:styleId="Tablaconcuadrcula">
    <w:name w:val="Table Grid"/>
    <w:basedOn w:val="Tablanormal"/>
    <w:uiPriority w:val="59"/>
    <w:rsid w:val="00266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5">
    <w:name w:val="Font Style65"/>
    <w:basedOn w:val="Fuentedeprrafopredeter"/>
    <w:rsid w:val="00BA181E"/>
    <w:rPr>
      <w:rFonts w:ascii="Times New Roman" w:hAnsi="Times New Roman" w:cs="Times New Roman"/>
      <w:sz w:val="22"/>
      <w:szCs w:val="22"/>
    </w:rPr>
  </w:style>
  <w:style w:type="paragraph" w:styleId="Sinespaciado">
    <w:name w:val="No Spacing"/>
    <w:uiPriority w:val="1"/>
    <w:qFormat/>
    <w:rsid w:val="007405B4"/>
    <w:pPr>
      <w:suppressAutoHyphens/>
    </w:pPr>
    <w:rPr>
      <w:rFonts w:ascii="Calibri" w:eastAsia="Calibri" w:hAnsi="Calibri" w:cs="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paragraph" w:styleId="Ttulo1">
    <w:name w:val="heading 1"/>
    <w:basedOn w:val="Normal"/>
    <w:next w:val="Normal"/>
    <w:uiPriority w:val="9"/>
    <w:qFormat/>
    <w:rsid w:val="00C5090C"/>
    <w:pPr>
      <w:keepNext/>
      <w:keepLines/>
      <w:numPr>
        <w:numId w:val="7"/>
      </w:numPr>
      <w:spacing w:before="480" w:after="0"/>
      <w:outlineLvl w:val="0"/>
    </w:pPr>
    <w:rPr>
      <w:rFonts w:eastAsia="Times New Roman" w:cs="Times New Roman"/>
      <w:b/>
      <w:bCs/>
      <w:szCs w:val="28"/>
    </w:rPr>
  </w:style>
  <w:style w:type="paragraph" w:styleId="Ttulo2">
    <w:name w:val="heading 2"/>
    <w:basedOn w:val="Normal"/>
    <w:next w:val="Normal"/>
    <w:qFormat/>
    <w:pPr>
      <w:keepNext/>
      <w:keepLines/>
      <w:tabs>
        <w:tab w:val="num" w:pos="576"/>
      </w:tabs>
      <w:spacing w:before="200" w:after="0"/>
      <w:ind w:left="576" w:hanging="576"/>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cs="Times New Roman"/>
    </w:rPr>
  </w:style>
  <w:style w:type="character" w:customStyle="1" w:styleId="Fuentedeprrafopredeter1">
    <w:name w:val="Fuente de párrafo predeter.1"/>
  </w:style>
  <w:style w:type="character" w:customStyle="1" w:styleId="TextoindependienteCar">
    <w:name w:val="Texto independiente Car"/>
    <w:rPr>
      <w:rFonts w:ascii="Arial" w:hAnsi="Arial" w:cs="Arial"/>
      <w:sz w:val="20"/>
      <w:szCs w:val="20"/>
      <w:lang w:val="es-ES_tradnl"/>
    </w:rPr>
  </w:style>
  <w:style w:type="character" w:customStyle="1" w:styleId="TtuloCar">
    <w:name w:val="Título Car"/>
    <w:rPr>
      <w:rFonts w:ascii="Arial" w:hAnsi="Arial" w:cs="Arial"/>
      <w:b/>
      <w:bCs/>
      <w:sz w:val="20"/>
      <w:szCs w:val="20"/>
      <w:lang w:val="es-ES_tradnl"/>
    </w:rPr>
  </w:style>
  <w:style w:type="character" w:customStyle="1" w:styleId="TextodegloboCar">
    <w:name w:val="Texto de globo Car"/>
    <w:rPr>
      <w:rFonts w:ascii="Tahoma" w:hAnsi="Tahoma" w:cs="Tahoma"/>
      <w:sz w:val="16"/>
      <w:szCs w:val="16"/>
    </w:rPr>
  </w:style>
  <w:style w:type="character" w:customStyle="1" w:styleId="EncabezadoCar">
    <w:name w:val="Encabezado Car"/>
    <w:rPr>
      <w:rFonts w:ascii="Calibri" w:hAnsi="Calibri" w:cs="Calibri"/>
    </w:rPr>
  </w:style>
  <w:style w:type="character" w:customStyle="1" w:styleId="PiedepginaCar">
    <w:name w:val="Pie de página Car"/>
    <w:rPr>
      <w:rFonts w:ascii="Calibri" w:hAnsi="Calibri" w:cs="Calibri"/>
    </w:rPr>
  </w:style>
  <w:style w:type="character" w:customStyle="1" w:styleId="WW8Num7z1">
    <w:name w:val="WW8Num7z1"/>
    <w:rPr>
      <w:rFonts w:ascii="Courier New" w:hAnsi="Courier New"/>
    </w:rPr>
  </w:style>
  <w:style w:type="character" w:styleId="Hipervnculo">
    <w:name w:val="Hyperlink"/>
    <w:uiPriority w:val="99"/>
    <w:rPr>
      <w:rFonts w:cs="Times New Roman"/>
      <w:color w:val="0000FF"/>
      <w:u w:val="single"/>
    </w:rPr>
  </w:style>
  <w:style w:type="character" w:customStyle="1" w:styleId="TextonotapieCar">
    <w:name w:val="Texto nota pie Car"/>
    <w:aliases w:val="fn Car,footnote text Car,FOOTNOTES Car,single space Car,Char Char Car,Footnote Car,Car Car,fn Car1,footnote text Car1,FOOTNOTES Car1,single space Car1,Footnote Text Char Char Char Char Char Car,Footnote Text Char Char Char Char Car"/>
    <w:rPr>
      <w:rFonts w:ascii="Calibri" w:hAnsi="Calibri" w:cs="Calibri"/>
      <w:sz w:val="20"/>
      <w:szCs w:val="20"/>
    </w:rPr>
  </w:style>
  <w:style w:type="character" w:customStyle="1" w:styleId="Smbolodenotaalpie">
    <w:name w:val="Símbolo de nota al pie"/>
    <w:rPr>
      <w:rFonts w:cs="Times New Roman"/>
      <w:vertAlign w:val="superscript"/>
    </w:rPr>
  </w:style>
  <w:style w:type="character" w:customStyle="1" w:styleId="Ttulo1Car">
    <w:name w:val="Título 1 Car"/>
    <w:rPr>
      <w:rFonts w:ascii="Cambria" w:eastAsia="Times New Roman" w:hAnsi="Cambria" w:cs="Times New Roman"/>
      <w:b/>
      <w:bCs/>
      <w:color w:val="365F91"/>
      <w:sz w:val="28"/>
      <w:szCs w:val="28"/>
      <w:lang w:val="es-ES"/>
    </w:rPr>
  </w:style>
  <w:style w:type="character" w:customStyle="1" w:styleId="Ttulo2Car">
    <w:name w:val="Título 2 Car"/>
    <w:rPr>
      <w:rFonts w:ascii="Cambria" w:eastAsia="Times New Roman" w:hAnsi="Cambria" w:cs="Times New Roman"/>
      <w:b/>
      <w:bCs/>
      <w:color w:val="4F81BD"/>
      <w:sz w:val="26"/>
      <w:szCs w:val="26"/>
      <w:lang w:val="es-ES"/>
    </w:rPr>
  </w:style>
  <w:style w:type="character" w:customStyle="1" w:styleId="EncabezadodemensajeCar">
    <w:name w:val="Encabezado de mensaje Car"/>
    <w:rPr>
      <w:rFonts w:ascii="Cambria" w:eastAsia="Times New Roman" w:hAnsi="Cambria" w:cs="Times New Roman"/>
      <w:sz w:val="24"/>
      <w:szCs w:val="24"/>
      <w:shd w:val="clear" w:color="auto" w:fill="CCCCCC"/>
      <w:lang w:val="es-ES"/>
    </w:rPr>
  </w:style>
  <w:style w:type="character" w:customStyle="1" w:styleId="SubttuloCar">
    <w:name w:val="Subtítulo Car"/>
    <w:rPr>
      <w:rFonts w:ascii="Cambria" w:eastAsia="Times New Roman" w:hAnsi="Cambria" w:cs="Times New Roman"/>
      <w:i/>
      <w:iCs/>
      <w:color w:val="4F81BD"/>
      <w:spacing w:val="15"/>
      <w:sz w:val="24"/>
      <w:szCs w:val="24"/>
      <w:lang w:val="es-ES"/>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widowControl w:val="0"/>
      <w:spacing w:after="0" w:line="240" w:lineRule="auto"/>
      <w:jc w:val="both"/>
    </w:pPr>
    <w:rPr>
      <w:rFonts w:ascii="Arial" w:eastAsia="Times New Roman" w:hAnsi="Arial" w:cs="Arial"/>
      <w:lang w:val="es-ES_tradnl"/>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tulo">
    <w:name w:val="Title"/>
    <w:basedOn w:val="Normal"/>
    <w:next w:val="Subttulo"/>
    <w:qFormat/>
    <w:pPr>
      <w:widowControl w:val="0"/>
      <w:spacing w:after="0" w:line="240" w:lineRule="auto"/>
      <w:jc w:val="center"/>
    </w:pPr>
    <w:rPr>
      <w:rFonts w:ascii="Arial" w:eastAsia="Times New Roman" w:hAnsi="Arial" w:cs="Arial"/>
      <w:b/>
      <w:bCs/>
      <w:lang w:val="es-ES_tradnl"/>
    </w:rPr>
  </w:style>
  <w:style w:type="paragraph" w:styleId="Subttulo">
    <w:name w:val="Subtitle"/>
    <w:basedOn w:val="Normal"/>
    <w:next w:val="Normal"/>
    <w:qFormat/>
    <w:rPr>
      <w:rFonts w:ascii="Cambria" w:eastAsia="Times New Roman" w:hAnsi="Cambria" w:cs="Times New Roman"/>
      <w:i/>
      <w:iCs/>
      <w:color w:val="4F81BD"/>
      <w:spacing w:val="15"/>
      <w:sz w:val="24"/>
      <w:szCs w:val="24"/>
    </w:rPr>
  </w:style>
  <w:style w:type="paragraph" w:styleId="Textodeglobo">
    <w:name w:val="Balloon Text"/>
    <w:basedOn w:val="Normal"/>
    <w:pPr>
      <w:spacing w:after="0" w:line="240" w:lineRule="auto"/>
    </w:pPr>
    <w:rPr>
      <w:rFonts w:ascii="Tahoma" w:hAnsi="Tahoma" w:cs="Tahoma"/>
      <w:sz w:val="16"/>
      <w:szCs w:val="16"/>
    </w:rPr>
  </w:style>
  <w:style w:type="paragraph" w:styleId="Encabezado">
    <w:name w:val="header"/>
    <w:basedOn w:val="Normal"/>
    <w:semiHidden/>
    <w:pPr>
      <w:spacing w:after="0" w:line="240" w:lineRule="auto"/>
    </w:pPr>
  </w:style>
  <w:style w:type="paragraph" w:styleId="Piedepgina">
    <w:name w:val="footer"/>
    <w:basedOn w:val="Normal"/>
    <w:semiHidden/>
    <w:pPr>
      <w:spacing w:after="0" w:line="240" w:lineRule="auto"/>
    </w:pPr>
  </w:style>
  <w:style w:type="paragraph" w:styleId="Textonotapie">
    <w:name w:val="footnote text"/>
    <w:aliases w:val="fn,footnote text,FOOTNOTES,single space,Char Char,Footnote,Car,Footnote Text Char Char Char Char Char,Footnote Text Char Char Char Char,Footnote reference,FA Fu,Footnote Text Char Char Char,Footnote Text Char,texto de nota al pi"/>
    <w:basedOn w:val="Normal"/>
    <w:pPr>
      <w:spacing w:after="0" w:line="240" w:lineRule="auto"/>
    </w:pPr>
    <w:rPr>
      <w:sz w:val="20"/>
      <w:szCs w:val="20"/>
    </w:rPr>
  </w:style>
  <w:style w:type="paragraph" w:customStyle="1" w:styleId="CharCharCharChar">
    <w:name w:val="Char Char Char Char"/>
    <w:basedOn w:val="Normal"/>
    <w:pPr>
      <w:spacing w:after="160" w:line="240" w:lineRule="exact"/>
    </w:pPr>
    <w:rPr>
      <w:rFonts w:ascii="Verdana" w:eastAsia="Times New Roman" w:hAnsi="Verdana" w:cs="Times New Roman"/>
      <w:sz w:val="20"/>
      <w:szCs w:val="20"/>
      <w:lang w:val="en-US"/>
    </w:rPr>
  </w:style>
  <w:style w:type="paragraph" w:customStyle="1" w:styleId="Encabezadodemensaje1">
    <w:name w:val="Encabezado de mensaje1"/>
    <w:basedOn w:val="Normal"/>
    <w:pPr>
      <w:shd w:val="clear" w:color="auto" w:fill="CCCCCC"/>
      <w:spacing w:after="0" w:line="240" w:lineRule="auto"/>
      <w:ind w:left="1134" w:hanging="1134"/>
    </w:pPr>
    <w:rPr>
      <w:rFonts w:ascii="Cambria" w:eastAsia="Times New Roman" w:hAnsi="Cambria" w:cs="Times New Roman"/>
      <w:sz w:val="24"/>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rsid w:val="00C5090C"/>
    <w:pPr>
      <w:suppressAutoHyphens w:val="0"/>
      <w:ind w:left="720"/>
      <w:contextualSpacing/>
      <w:jc w:val="both"/>
    </w:pPr>
    <w:rPr>
      <w:rFonts w:eastAsia="Times New Roman" w:cs="Times New Roman"/>
      <w:szCs w:val="20"/>
      <w:lang w:val="es-CO" w:eastAsia="en-US" w:bidi="en-US"/>
    </w:rPr>
  </w:style>
  <w:style w:type="character" w:styleId="Refdenotaalpie">
    <w:name w:val="footnote reference"/>
    <w:aliases w:val="referencia nota al pie,Texto de nota al pie"/>
    <w:unhideWhenUsed/>
    <w:rsid w:val="00C5090C"/>
    <w:rPr>
      <w:vertAlign w:val="superscript"/>
    </w:rPr>
  </w:style>
  <w:style w:type="paragraph" w:customStyle="1" w:styleId="ListParagraph1">
    <w:name w:val="List Paragraph1"/>
    <w:basedOn w:val="Normal"/>
    <w:uiPriority w:val="99"/>
    <w:rsid w:val="00C5090C"/>
    <w:pPr>
      <w:suppressAutoHyphens w:val="0"/>
      <w:ind w:left="708"/>
    </w:pPr>
    <w:rPr>
      <w:rFonts w:eastAsia="Times New Roman"/>
      <w:lang w:val="es-CO" w:eastAsia="en-US"/>
    </w:rPr>
  </w:style>
  <w:style w:type="paragraph" w:styleId="Lista2">
    <w:name w:val="List 2"/>
    <w:basedOn w:val="Normal"/>
    <w:uiPriority w:val="99"/>
    <w:semiHidden/>
    <w:unhideWhenUsed/>
    <w:rsid w:val="00C5090C"/>
    <w:pPr>
      <w:suppressAutoHyphens w:val="0"/>
      <w:ind w:left="566" w:hanging="283"/>
      <w:contextualSpacing/>
      <w:jc w:val="both"/>
    </w:pPr>
    <w:rPr>
      <w:rFonts w:eastAsia="Times New Roman" w:cs="Times New Roman"/>
      <w:szCs w:val="20"/>
      <w:lang w:val="es-CO" w:eastAsia="en-US" w:bidi="en-US"/>
    </w:rPr>
  </w:style>
  <w:style w:type="paragraph" w:styleId="Textodebloque">
    <w:name w:val="Block Text"/>
    <w:basedOn w:val="Normal"/>
    <w:rsid w:val="00C5090C"/>
    <w:pPr>
      <w:suppressAutoHyphens w:val="0"/>
      <w:spacing w:after="0" w:line="240" w:lineRule="auto"/>
      <w:ind w:left="2124" w:right="617" w:hanging="1419"/>
      <w:jc w:val="both"/>
    </w:pPr>
    <w:rPr>
      <w:rFonts w:ascii="Arial" w:eastAsia="Times New Roman" w:hAnsi="Arial" w:cs="Arial"/>
      <w:b/>
      <w:bCs/>
      <w:i/>
      <w:iCs/>
      <w:lang w:val="es-ES_tradnl" w:eastAsia="es-ES"/>
    </w:rPr>
  </w:style>
  <w:style w:type="paragraph" w:styleId="TDC1">
    <w:name w:val="toc 1"/>
    <w:basedOn w:val="Normal"/>
    <w:next w:val="Normal"/>
    <w:autoRedefine/>
    <w:uiPriority w:val="39"/>
    <w:unhideWhenUsed/>
    <w:rsid w:val="00C5090C"/>
  </w:style>
  <w:style w:type="paragraph" w:styleId="Listaconvietas">
    <w:name w:val="List Bullet"/>
    <w:basedOn w:val="Normal"/>
    <w:uiPriority w:val="99"/>
    <w:unhideWhenUsed/>
    <w:rsid w:val="00BA5254"/>
    <w:pPr>
      <w:numPr>
        <w:numId w:val="24"/>
      </w:numPr>
      <w:contextualSpacing/>
    </w:pPr>
  </w:style>
  <w:style w:type="paragraph" w:customStyle="1" w:styleId="Estilo1">
    <w:name w:val="Estilo1"/>
    <w:basedOn w:val="Normal"/>
    <w:rsid w:val="0033562A"/>
    <w:pPr>
      <w:suppressAutoHyphens w:val="0"/>
      <w:spacing w:after="0" w:line="240" w:lineRule="auto"/>
    </w:pPr>
    <w:rPr>
      <w:rFonts w:ascii="Arial" w:eastAsia="Times New Roman" w:hAnsi="Arial" w:cs="Times New Roman"/>
      <w:sz w:val="24"/>
      <w:szCs w:val="24"/>
      <w:lang w:eastAsia="es-ES"/>
    </w:rPr>
  </w:style>
  <w:style w:type="paragraph" w:customStyle="1" w:styleId="Style28">
    <w:name w:val="Style28"/>
    <w:basedOn w:val="Normal"/>
    <w:rsid w:val="00F51E99"/>
    <w:pPr>
      <w:widowControl w:val="0"/>
      <w:suppressAutoHyphens w:val="0"/>
      <w:autoSpaceDE w:val="0"/>
      <w:autoSpaceDN w:val="0"/>
      <w:adjustRightInd w:val="0"/>
      <w:spacing w:after="0" w:line="199" w:lineRule="exact"/>
      <w:ind w:firstLine="451"/>
      <w:jc w:val="both"/>
    </w:pPr>
    <w:rPr>
      <w:rFonts w:ascii="Arial" w:eastAsia="Times New Roman" w:hAnsi="Arial" w:cs="Times New Roman"/>
      <w:sz w:val="24"/>
      <w:szCs w:val="24"/>
      <w:lang w:eastAsia="es-ES"/>
    </w:rPr>
  </w:style>
  <w:style w:type="character" w:styleId="Refdecomentario">
    <w:name w:val="annotation reference"/>
    <w:uiPriority w:val="99"/>
    <w:semiHidden/>
    <w:unhideWhenUsed/>
    <w:rsid w:val="00A70220"/>
    <w:rPr>
      <w:sz w:val="16"/>
      <w:szCs w:val="16"/>
    </w:rPr>
  </w:style>
  <w:style w:type="paragraph" w:styleId="Textocomentario">
    <w:name w:val="annotation text"/>
    <w:basedOn w:val="Normal"/>
    <w:link w:val="TextocomentarioCar"/>
    <w:uiPriority w:val="99"/>
    <w:semiHidden/>
    <w:unhideWhenUsed/>
    <w:rsid w:val="00A70220"/>
    <w:rPr>
      <w:sz w:val="20"/>
      <w:szCs w:val="20"/>
    </w:rPr>
  </w:style>
  <w:style w:type="character" w:customStyle="1" w:styleId="TextocomentarioCar">
    <w:name w:val="Texto comentario Car"/>
    <w:link w:val="Textocomentario"/>
    <w:uiPriority w:val="99"/>
    <w:semiHidden/>
    <w:rsid w:val="00A70220"/>
    <w:rPr>
      <w:rFonts w:ascii="Calibri" w:eastAsia="Calibri" w:hAnsi="Calibri" w:cs="Calibri"/>
      <w:lang w:val="es-ES" w:eastAsia="ar-SA"/>
    </w:rPr>
  </w:style>
  <w:style w:type="paragraph" w:styleId="Asuntodelcomentario">
    <w:name w:val="annotation subject"/>
    <w:basedOn w:val="Textocomentario"/>
    <w:next w:val="Textocomentario"/>
    <w:link w:val="AsuntodelcomentarioCar"/>
    <w:uiPriority w:val="99"/>
    <w:semiHidden/>
    <w:unhideWhenUsed/>
    <w:rsid w:val="00A70220"/>
    <w:rPr>
      <w:b/>
      <w:bCs/>
    </w:rPr>
  </w:style>
  <w:style w:type="character" w:customStyle="1" w:styleId="AsuntodelcomentarioCar">
    <w:name w:val="Asunto del comentario Car"/>
    <w:link w:val="Asuntodelcomentario"/>
    <w:uiPriority w:val="99"/>
    <w:semiHidden/>
    <w:rsid w:val="00A70220"/>
    <w:rPr>
      <w:rFonts w:ascii="Calibri" w:eastAsia="Calibri" w:hAnsi="Calibri" w:cs="Calibri"/>
      <w:b/>
      <w:bCs/>
      <w:lang w:val="es-ES" w:eastAsia="ar-SA"/>
    </w:rPr>
  </w:style>
  <w:style w:type="paragraph" w:styleId="Revisin">
    <w:name w:val="Revision"/>
    <w:hidden/>
    <w:uiPriority w:val="99"/>
    <w:semiHidden/>
    <w:rsid w:val="00A70220"/>
    <w:rPr>
      <w:rFonts w:ascii="Calibri" w:eastAsia="Calibri" w:hAnsi="Calibri" w:cs="Calibri"/>
      <w:sz w:val="22"/>
      <w:szCs w:val="22"/>
      <w:lang w:val="es-ES" w:eastAsia="ar-SA"/>
    </w:rPr>
  </w:style>
  <w:style w:type="character" w:styleId="Textodelmarcadordeposicin">
    <w:name w:val="Placeholder Text"/>
    <w:basedOn w:val="Fuentedeprrafopredeter"/>
    <w:uiPriority w:val="99"/>
    <w:semiHidden/>
    <w:rsid w:val="00DC74D3"/>
    <w:rPr>
      <w:color w:val="808080"/>
    </w:rPr>
  </w:style>
  <w:style w:type="table" w:styleId="Tablaconcuadrcula">
    <w:name w:val="Table Grid"/>
    <w:basedOn w:val="Tablanormal"/>
    <w:uiPriority w:val="59"/>
    <w:rsid w:val="00266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5">
    <w:name w:val="Font Style65"/>
    <w:basedOn w:val="Fuentedeprrafopredeter"/>
    <w:rsid w:val="00BA181E"/>
    <w:rPr>
      <w:rFonts w:ascii="Times New Roman" w:hAnsi="Times New Roman" w:cs="Times New Roman"/>
      <w:sz w:val="22"/>
      <w:szCs w:val="22"/>
    </w:rPr>
  </w:style>
  <w:style w:type="paragraph" w:styleId="Sinespaciado">
    <w:name w:val="No Spacing"/>
    <w:uiPriority w:val="1"/>
    <w:qFormat/>
    <w:rsid w:val="007405B4"/>
    <w:pPr>
      <w:suppressAutoHyphens/>
    </w:pPr>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3237">
      <w:bodyDiv w:val="1"/>
      <w:marLeft w:val="0"/>
      <w:marRight w:val="0"/>
      <w:marTop w:val="0"/>
      <w:marBottom w:val="0"/>
      <w:divBdr>
        <w:top w:val="none" w:sz="0" w:space="0" w:color="auto"/>
        <w:left w:val="none" w:sz="0" w:space="0" w:color="auto"/>
        <w:bottom w:val="none" w:sz="0" w:space="0" w:color="auto"/>
        <w:right w:val="none" w:sz="0" w:space="0" w:color="auto"/>
      </w:divBdr>
    </w:div>
    <w:div w:id="780228220">
      <w:bodyDiv w:val="1"/>
      <w:marLeft w:val="0"/>
      <w:marRight w:val="0"/>
      <w:marTop w:val="0"/>
      <w:marBottom w:val="0"/>
      <w:divBdr>
        <w:top w:val="none" w:sz="0" w:space="0" w:color="auto"/>
        <w:left w:val="none" w:sz="0" w:space="0" w:color="auto"/>
        <w:bottom w:val="none" w:sz="0" w:space="0" w:color="auto"/>
        <w:right w:val="none" w:sz="0" w:space="0" w:color="auto"/>
      </w:divBdr>
    </w:div>
    <w:div w:id="1154223224">
      <w:bodyDiv w:val="1"/>
      <w:marLeft w:val="0"/>
      <w:marRight w:val="0"/>
      <w:marTop w:val="0"/>
      <w:marBottom w:val="0"/>
      <w:divBdr>
        <w:top w:val="none" w:sz="0" w:space="0" w:color="auto"/>
        <w:left w:val="none" w:sz="0" w:space="0" w:color="auto"/>
        <w:bottom w:val="none" w:sz="0" w:space="0" w:color="auto"/>
        <w:right w:val="none" w:sz="0" w:space="0" w:color="auto"/>
      </w:divBdr>
    </w:div>
    <w:div w:id="14600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ane.gov.co/files/investigaciones/fichas/IPC.pdf" TargetMode="External"/><Relationship Id="rId1" Type="http://schemas.openxmlformats.org/officeDocument/2006/relationships/hyperlink" Target="http://www.dane.gov.co/files/faqs/faq_ip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BB83-1492-4EF8-A6FF-61A59801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5197</Words>
  <Characters>28586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Bogotá, D</vt:lpstr>
    </vt:vector>
  </TitlesOfParts>
  <Company>Hewlett-Packard Company</Company>
  <LinksUpToDate>false</LinksUpToDate>
  <CharactersWithSpaces>33716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Preferred Customer</dc:creator>
  <cp:lastModifiedBy>German Leonidas Orjuela Borda</cp:lastModifiedBy>
  <cp:revision>3</cp:revision>
  <cp:lastPrinted>2012-06-05T20:24:00Z</cp:lastPrinted>
  <dcterms:created xsi:type="dcterms:W3CDTF">2012-07-10T19:18:00Z</dcterms:created>
  <dcterms:modified xsi:type="dcterms:W3CDTF">2012-07-10T19:38:00Z</dcterms:modified>
</cp:coreProperties>
</file>