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8C" w:rsidRDefault="009E708C" w:rsidP="0022700E">
      <w:pPr>
        <w:jc w:val="both"/>
        <w:rPr>
          <w:rFonts w:ascii="Arial" w:hAnsi="Arial" w:cs="Arial"/>
          <w:b/>
        </w:rPr>
      </w:pPr>
      <w:bookmarkStart w:id="0" w:name="_GoBack"/>
      <w:bookmarkEnd w:id="0"/>
    </w:p>
    <w:p w:rsidR="006E32C7" w:rsidRDefault="006E32C7" w:rsidP="0022700E">
      <w:pPr>
        <w:jc w:val="both"/>
        <w:rPr>
          <w:rFonts w:ascii="Arial" w:hAnsi="Arial" w:cs="Arial"/>
          <w:b/>
        </w:rPr>
      </w:pPr>
      <w:r>
        <w:rPr>
          <w:rFonts w:ascii="Arial" w:hAnsi="Arial" w:cs="Arial"/>
          <w:b/>
          <w:noProof/>
          <w:lang w:val="es-CO" w:eastAsia="es-CO"/>
        </w:rPr>
        <w:drawing>
          <wp:anchor distT="0" distB="0" distL="114300" distR="114300" simplePos="0" relativeHeight="251664384" behindDoc="0" locked="0" layoutInCell="1" allowOverlap="1" wp14:anchorId="766F1AFE" wp14:editId="1F6B7717">
            <wp:simplePos x="0" y="0"/>
            <wp:positionH relativeFrom="column">
              <wp:posOffset>0</wp:posOffset>
            </wp:positionH>
            <wp:positionV relativeFrom="paragraph">
              <wp:posOffset>-635</wp:posOffset>
            </wp:positionV>
            <wp:extent cx="2084832" cy="652461"/>
            <wp:effectExtent l="0" t="0" r="0" b="0"/>
            <wp:wrapNone/>
            <wp:docPr id="5" name="Imagen 5" descr="Descripción: CenefaComunicados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cripción: CenefaComunicadosPRENSA"/>
                    <pic:cNvPicPr>
                      <a:picLocks noChangeAspect="1" noChangeArrowheads="1"/>
                    </pic:cNvPicPr>
                  </pic:nvPicPr>
                  <pic:blipFill>
                    <a:blip r:embed="rId8">
                      <a:extLst>
                        <a:ext uri="{28A0092B-C50C-407E-A947-70E740481C1C}">
                          <a14:useLocalDpi xmlns:a14="http://schemas.microsoft.com/office/drawing/2010/main" val="0"/>
                        </a:ext>
                      </a:extLst>
                    </a:blip>
                    <a:srcRect r="69919"/>
                    <a:stretch>
                      <a:fillRect/>
                    </a:stretch>
                  </pic:blipFill>
                  <pic:spPr bwMode="auto">
                    <a:xfrm>
                      <a:off x="0" y="0"/>
                      <a:ext cx="2085147" cy="6525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2C7" w:rsidRDefault="006E32C7" w:rsidP="0022700E">
      <w:pPr>
        <w:jc w:val="both"/>
        <w:rPr>
          <w:rFonts w:ascii="Arial" w:hAnsi="Arial" w:cs="Arial"/>
          <w:b/>
        </w:rPr>
      </w:pPr>
    </w:p>
    <w:tbl>
      <w:tblPr>
        <w:tblpPr w:leftFromText="187" w:rightFromText="187" w:vertAnchor="page" w:horzAnchor="margin" w:tblpY="5341"/>
        <w:tblW w:w="5173" w:type="pct"/>
        <w:tblLayout w:type="fixed"/>
        <w:tblCellMar>
          <w:top w:w="216" w:type="dxa"/>
          <w:left w:w="216" w:type="dxa"/>
          <w:bottom w:w="216" w:type="dxa"/>
          <w:right w:w="216" w:type="dxa"/>
        </w:tblCellMar>
        <w:tblLook w:val="04A0" w:firstRow="1" w:lastRow="0" w:firstColumn="1" w:lastColumn="0" w:noHBand="0" w:noVBand="1"/>
      </w:tblPr>
      <w:tblGrid>
        <w:gridCol w:w="5112"/>
        <w:gridCol w:w="3017"/>
        <w:gridCol w:w="1674"/>
      </w:tblGrid>
      <w:tr w:rsidR="006E32C7" w:rsidRPr="009E708C" w:rsidTr="004170D6">
        <w:trPr>
          <w:trHeight w:val="3300"/>
        </w:trPr>
        <w:tc>
          <w:tcPr>
            <w:tcW w:w="5461" w:type="dxa"/>
            <w:tcBorders>
              <w:bottom w:val="single" w:sz="18" w:space="0" w:color="808080"/>
              <w:right w:val="single" w:sz="18" w:space="0" w:color="808080"/>
            </w:tcBorders>
            <w:vAlign w:val="center"/>
          </w:tcPr>
          <w:p w:rsidR="006E32C7" w:rsidRPr="00B636BA" w:rsidRDefault="00F1346E" w:rsidP="004170D6">
            <w:pPr>
              <w:ind w:left="-142" w:right="-94"/>
              <w:rPr>
                <w:rFonts w:ascii="Arial" w:eastAsia="MS Gothic" w:hAnsi="Arial" w:cs="Arial"/>
                <w:b/>
                <w:sz w:val="56"/>
                <w:szCs w:val="80"/>
                <w:lang w:eastAsia="en-US"/>
              </w:rPr>
            </w:pPr>
            <w:r w:rsidRPr="00B636BA">
              <w:rPr>
                <w:rFonts w:ascii="Arial" w:eastAsia="MS Gothic" w:hAnsi="Arial" w:cs="Arial"/>
                <w:b/>
                <w:sz w:val="56"/>
                <w:szCs w:val="80"/>
                <w:lang w:eastAsia="en-US"/>
              </w:rPr>
              <w:t>CONTRIBUCI</w:t>
            </w:r>
            <w:r w:rsidR="00B636BA">
              <w:rPr>
                <w:rFonts w:ascii="Arial" w:eastAsia="MS Gothic" w:hAnsi="Arial" w:cs="Arial"/>
                <w:b/>
                <w:sz w:val="56"/>
                <w:szCs w:val="80"/>
                <w:lang w:eastAsia="en-US"/>
              </w:rPr>
              <w:t>Ó</w:t>
            </w:r>
            <w:r w:rsidRPr="00B636BA">
              <w:rPr>
                <w:rFonts w:ascii="Arial" w:eastAsia="MS Gothic" w:hAnsi="Arial" w:cs="Arial"/>
                <w:b/>
                <w:sz w:val="56"/>
                <w:szCs w:val="80"/>
                <w:lang w:eastAsia="en-US"/>
              </w:rPr>
              <w:t xml:space="preserve">N ESPECIAL </w:t>
            </w:r>
          </w:p>
          <w:p w:rsidR="006E32C7" w:rsidRPr="009E708C" w:rsidRDefault="006E32C7" w:rsidP="004170D6">
            <w:pPr>
              <w:ind w:left="-142" w:right="-94"/>
              <w:rPr>
                <w:rFonts w:ascii="Arial" w:eastAsia="MS Gothic" w:hAnsi="Arial" w:cs="Arial"/>
                <w:sz w:val="76"/>
                <w:szCs w:val="72"/>
                <w:lang w:eastAsia="en-US"/>
              </w:rPr>
            </w:pPr>
          </w:p>
        </w:tc>
        <w:tc>
          <w:tcPr>
            <w:tcW w:w="5009" w:type="dxa"/>
            <w:gridSpan w:val="2"/>
            <w:tcBorders>
              <w:left w:val="single" w:sz="18" w:space="0" w:color="808080"/>
              <w:bottom w:val="single" w:sz="18" w:space="0" w:color="808080"/>
            </w:tcBorders>
            <w:vAlign w:val="center"/>
          </w:tcPr>
          <w:p w:rsidR="006E32C7" w:rsidRPr="009E708C" w:rsidRDefault="006E32C7" w:rsidP="004170D6">
            <w:pPr>
              <w:ind w:left="-142" w:right="-94"/>
              <w:rPr>
                <w:rFonts w:ascii="Arial" w:eastAsia="MS Gothic" w:hAnsi="Arial" w:cs="Arial"/>
                <w:sz w:val="44"/>
                <w:szCs w:val="36"/>
                <w:lang w:eastAsia="en-US"/>
              </w:rPr>
            </w:pPr>
            <w:r w:rsidRPr="009E708C">
              <w:rPr>
                <w:rFonts w:ascii="Arial" w:eastAsia="MS Gothic" w:hAnsi="Arial" w:cs="Arial"/>
                <w:sz w:val="36"/>
                <w:szCs w:val="36"/>
                <w:lang w:eastAsia="en-US"/>
              </w:rPr>
              <w:t xml:space="preserve">      </w:t>
            </w:r>
            <w:r w:rsidR="001B7F59">
              <w:rPr>
                <w:rFonts w:ascii="Arial" w:eastAsia="MS Gothic" w:hAnsi="Arial" w:cs="Arial"/>
                <w:sz w:val="36"/>
                <w:szCs w:val="36"/>
                <w:lang w:eastAsia="en-US"/>
              </w:rPr>
              <w:t>D</w:t>
            </w:r>
            <w:r w:rsidR="00F1346E">
              <w:rPr>
                <w:rFonts w:ascii="Arial" w:eastAsia="MS Gothic" w:hAnsi="Arial" w:cs="Arial"/>
                <w:sz w:val="36"/>
                <w:szCs w:val="36"/>
                <w:lang w:eastAsia="en-US"/>
              </w:rPr>
              <w:t xml:space="preserve">iciembre </w:t>
            </w:r>
            <w:r>
              <w:rPr>
                <w:rFonts w:ascii="Arial" w:eastAsia="MS Gothic" w:hAnsi="Arial" w:cs="Arial"/>
                <w:sz w:val="36"/>
                <w:szCs w:val="36"/>
                <w:lang w:eastAsia="en-US"/>
              </w:rPr>
              <w:t>de</w:t>
            </w:r>
          </w:p>
          <w:p w:rsidR="006E32C7" w:rsidRPr="009E708C" w:rsidRDefault="006E32C7" w:rsidP="004170D6">
            <w:pPr>
              <w:ind w:left="-142" w:right="-466"/>
              <w:rPr>
                <w:rFonts w:ascii="Arial" w:eastAsia="MS Mincho" w:hAnsi="Arial" w:cs="Arial"/>
                <w:b/>
                <w:color w:val="4F81BD"/>
                <w:sz w:val="200"/>
                <w:szCs w:val="200"/>
                <w:lang w:eastAsia="en-US"/>
              </w:rPr>
            </w:pPr>
            <w:r w:rsidRPr="009E708C">
              <w:rPr>
                <w:rFonts w:ascii="Arial" w:eastAsia="MS Mincho" w:hAnsi="Arial" w:cs="Arial"/>
                <w:b/>
                <w:color w:val="4F81BD"/>
                <w:sz w:val="160"/>
                <w:szCs w:val="200"/>
                <w:lang w:eastAsia="en-US"/>
              </w:rPr>
              <w:t xml:space="preserve"> </w:t>
            </w:r>
            <w:r>
              <w:rPr>
                <w:rFonts w:ascii="Arial" w:eastAsia="MS Mincho" w:hAnsi="Arial" w:cs="Arial"/>
                <w:b/>
                <w:color w:val="4F81BD"/>
                <w:sz w:val="160"/>
                <w:szCs w:val="200"/>
                <w:lang w:eastAsia="en-US"/>
              </w:rPr>
              <w:t>2017</w:t>
            </w:r>
          </w:p>
        </w:tc>
      </w:tr>
      <w:tr w:rsidR="006E32C7" w:rsidRPr="009E708C" w:rsidTr="004170D6">
        <w:trPr>
          <w:trHeight w:val="825"/>
        </w:trPr>
        <w:tc>
          <w:tcPr>
            <w:tcW w:w="8704" w:type="dxa"/>
            <w:gridSpan w:val="2"/>
            <w:tcBorders>
              <w:top w:val="single" w:sz="18" w:space="0" w:color="808080"/>
            </w:tcBorders>
            <w:vAlign w:val="center"/>
          </w:tcPr>
          <w:p w:rsidR="00F1346E" w:rsidRDefault="006E32C7" w:rsidP="004170D6">
            <w:pPr>
              <w:pStyle w:val="Default"/>
              <w:tabs>
                <w:tab w:val="left" w:pos="7960"/>
              </w:tabs>
              <w:ind w:left="-142" w:right="-100"/>
              <w:jc w:val="both"/>
              <w:rPr>
                <w:rFonts w:ascii="Arial" w:hAnsi="Arial" w:cs="Arial"/>
                <w:color w:val="auto"/>
                <w:sz w:val="22"/>
              </w:rPr>
            </w:pPr>
            <w:r w:rsidRPr="009E708C">
              <w:rPr>
                <w:rFonts w:ascii="Arial" w:hAnsi="Arial" w:cs="Arial"/>
                <w:color w:val="auto"/>
                <w:sz w:val="22"/>
              </w:rPr>
              <w:t xml:space="preserve">Este documento establece los lineamientos </w:t>
            </w:r>
            <w:r w:rsidR="00F1346E">
              <w:rPr>
                <w:rFonts w:ascii="Arial" w:hAnsi="Arial" w:cs="Arial"/>
                <w:color w:val="auto"/>
                <w:sz w:val="22"/>
              </w:rPr>
              <w:t>generales para realizar el cálculo y el cobro de las contribuciones especiales de que trata el Artículo 85 de la Ley 142 de 1994.</w:t>
            </w:r>
          </w:p>
          <w:p w:rsidR="006E32C7" w:rsidRDefault="00F1346E" w:rsidP="004170D6">
            <w:pPr>
              <w:pStyle w:val="Default"/>
              <w:tabs>
                <w:tab w:val="left" w:pos="7960"/>
              </w:tabs>
              <w:ind w:left="-142" w:right="-100"/>
              <w:jc w:val="both"/>
              <w:rPr>
                <w:rFonts w:ascii="Arial" w:hAnsi="Arial" w:cs="Arial"/>
                <w:color w:val="auto"/>
                <w:sz w:val="22"/>
              </w:rPr>
            </w:pPr>
            <w:r>
              <w:rPr>
                <w:rFonts w:ascii="Arial" w:hAnsi="Arial" w:cs="Arial"/>
                <w:color w:val="auto"/>
                <w:sz w:val="22"/>
              </w:rPr>
              <w:t xml:space="preserve"> </w:t>
            </w:r>
          </w:p>
          <w:p w:rsidR="006E32C7" w:rsidRDefault="006E32C7" w:rsidP="004170D6">
            <w:pPr>
              <w:pStyle w:val="Default"/>
              <w:tabs>
                <w:tab w:val="left" w:pos="7960"/>
              </w:tabs>
              <w:ind w:left="-142" w:right="-100"/>
              <w:jc w:val="both"/>
              <w:rPr>
                <w:rFonts w:ascii="Arial" w:hAnsi="Arial" w:cs="Arial"/>
                <w:color w:val="auto"/>
                <w:sz w:val="22"/>
              </w:rPr>
            </w:pPr>
          </w:p>
          <w:p w:rsidR="006E32C7" w:rsidRDefault="006E32C7" w:rsidP="004170D6">
            <w:pPr>
              <w:pStyle w:val="Default"/>
              <w:tabs>
                <w:tab w:val="left" w:pos="7960"/>
              </w:tabs>
              <w:ind w:left="-142" w:right="-100"/>
              <w:jc w:val="both"/>
              <w:rPr>
                <w:rFonts w:ascii="Arial" w:hAnsi="Arial" w:cs="Arial"/>
                <w:color w:val="auto"/>
                <w:sz w:val="22"/>
              </w:rPr>
            </w:pPr>
          </w:p>
          <w:p w:rsidR="006E32C7" w:rsidRDefault="006E32C7" w:rsidP="004170D6">
            <w:pPr>
              <w:pStyle w:val="Default"/>
              <w:tabs>
                <w:tab w:val="left" w:pos="7960"/>
              </w:tabs>
              <w:ind w:left="-142" w:right="-100"/>
              <w:jc w:val="both"/>
              <w:rPr>
                <w:rFonts w:ascii="Arial" w:hAnsi="Arial" w:cs="Arial"/>
                <w:color w:val="auto"/>
                <w:sz w:val="22"/>
              </w:rPr>
            </w:pPr>
          </w:p>
          <w:p w:rsidR="006E32C7" w:rsidRDefault="006E32C7" w:rsidP="004170D6">
            <w:pPr>
              <w:pStyle w:val="Default"/>
              <w:tabs>
                <w:tab w:val="left" w:pos="7960"/>
              </w:tabs>
              <w:ind w:left="-142" w:right="-100"/>
              <w:jc w:val="both"/>
              <w:rPr>
                <w:rFonts w:ascii="Arial" w:hAnsi="Arial" w:cs="Arial"/>
                <w:color w:val="auto"/>
                <w:sz w:val="22"/>
              </w:rPr>
            </w:pPr>
          </w:p>
          <w:p w:rsidR="006E32C7" w:rsidRDefault="006E32C7" w:rsidP="004170D6">
            <w:pPr>
              <w:pStyle w:val="Default"/>
              <w:tabs>
                <w:tab w:val="left" w:pos="7960"/>
              </w:tabs>
              <w:ind w:left="-142" w:right="-100"/>
              <w:jc w:val="both"/>
              <w:rPr>
                <w:rFonts w:ascii="Arial" w:hAnsi="Arial" w:cs="Arial"/>
                <w:color w:val="auto"/>
                <w:sz w:val="22"/>
              </w:rPr>
            </w:pPr>
          </w:p>
          <w:p w:rsidR="006E32C7" w:rsidRPr="009E708C" w:rsidRDefault="006E32C7" w:rsidP="004170D6">
            <w:pPr>
              <w:pStyle w:val="Default"/>
              <w:tabs>
                <w:tab w:val="left" w:pos="7960"/>
              </w:tabs>
              <w:ind w:left="-142" w:right="-100"/>
              <w:jc w:val="both"/>
              <w:rPr>
                <w:rFonts w:ascii="Arial" w:hAnsi="Arial" w:cs="Arial"/>
                <w:color w:val="auto"/>
                <w:sz w:val="22"/>
              </w:rPr>
            </w:pPr>
          </w:p>
        </w:tc>
        <w:tc>
          <w:tcPr>
            <w:tcW w:w="1766" w:type="dxa"/>
            <w:tcBorders>
              <w:top w:val="single" w:sz="18" w:space="0" w:color="808080"/>
            </w:tcBorders>
            <w:vAlign w:val="center"/>
          </w:tcPr>
          <w:p w:rsidR="006E32C7" w:rsidRPr="009E708C" w:rsidRDefault="006E32C7" w:rsidP="004170D6">
            <w:pPr>
              <w:ind w:left="-142" w:right="-94"/>
              <w:rPr>
                <w:rFonts w:ascii="Arial" w:eastAsia="MS Gothic" w:hAnsi="Arial" w:cs="Arial"/>
                <w:sz w:val="36"/>
                <w:szCs w:val="36"/>
                <w:lang w:eastAsia="en-US"/>
              </w:rPr>
            </w:pPr>
            <w:r w:rsidRPr="009E708C">
              <w:rPr>
                <w:rFonts w:ascii="Arial" w:eastAsia="MS Gothic" w:hAnsi="Arial" w:cs="Arial"/>
                <w:sz w:val="28"/>
                <w:szCs w:val="36"/>
                <w:lang w:eastAsia="en-US"/>
              </w:rPr>
              <w:t xml:space="preserve">     </w:t>
            </w:r>
          </w:p>
        </w:tc>
      </w:tr>
    </w:tbl>
    <w:p w:rsidR="006E32C7" w:rsidRPr="0081592D" w:rsidRDefault="006E32C7" w:rsidP="0022700E">
      <w:pPr>
        <w:jc w:val="both"/>
        <w:rPr>
          <w:rFonts w:ascii="Arial" w:hAnsi="Arial" w:cs="Arial"/>
          <w:b/>
        </w:rPr>
      </w:pPr>
    </w:p>
    <w:p w:rsidR="009E708C" w:rsidRPr="0081592D" w:rsidRDefault="009E708C" w:rsidP="0022700E">
      <w:pPr>
        <w:jc w:val="both"/>
        <w:rPr>
          <w:rFonts w:ascii="Arial" w:hAnsi="Arial" w:cs="Arial"/>
          <w:b/>
        </w:rPr>
      </w:pPr>
    </w:p>
    <w:p w:rsidR="009E708C" w:rsidRPr="0081592D" w:rsidRDefault="009E708C" w:rsidP="0022700E">
      <w:pPr>
        <w:jc w:val="both"/>
        <w:rPr>
          <w:rFonts w:ascii="Arial" w:hAnsi="Arial" w:cs="Arial"/>
          <w:b/>
        </w:rPr>
      </w:pPr>
    </w:p>
    <w:p w:rsidR="009E708C" w:rsidRPr="0081592D" w:rsidRDefault="009E708C" w:rsidP="0022700E">
      <w:pPr>
        <w:jc w:val="both"/>
        <w:rPr>
          <w:rFonts w:ascii="Arial" w:hAnsi="Arial" w:cs="Arial"/>
          <w:b/>
        </w:rPr>
      </w:pPr>
    </w:p>
    <w:p w:rsidR="009E708C" w:rsidRPr="0081592D" w:rsidRDefault="009E708C" w:rsidP="0022700E">
      <w:pPr>
        <w:jc w:val="both"/>
        <w:rPr>
          <w:rFonts w:ascii="Arial" w:hAnsi="Arial" w:cs="Arial"/>
          <w:b/>
        </w:rPr>
      </w:pPr>
    </w:p>
    <w:p w:rsidR="009E708C" w:rsidRPr="0081592D" w:rsidRDefault="009E708C" w:rsidP="0022700E">
      <w:pPr>
        <w:jc w:val="both"/>
        <w:rPr>
          <w:rFonts w:ascii="Arial" w:hAnsi="Arial" w:cs="Arial"/>
          <w:b/>
        </w:rPr>
      </w:pPr>
    </w:p>
    <w:p w:rsidR="009E708C" w:rsidRPr="0081592D" w:rsidRDefault="009E708C" w:rsidP="0022700E">
      <w:pPr>
        <w:jc w:val="both"/>
        <w:rPr>
          <w:rFonts w:ascii="Arial" w:hAnsi="Arial" w:cs="Arial"/>
          <w:b/>
        </w:rPr>
      </w:pPr>
    </w:p>
    <w:p w:rsidR="009E708C" w:rsidRPr="0081592D" w:rsidRDefault="006E32C7" w:rsidP="0022700E">
      <w:pPr>
        <w:jc w:val="both"/>
        <w:rPr>
          <w:rFonts w:ascii="Arial" w:hAnsi="Arial" w:cs="Arial"/>
          <w:b/>
        </w:rPr>
      </w:pPr>
      <w:r>
        <w:rPr>
          <w:noProof/>
          <w:lang w:val="es-CO" w:eastAsia="es-CO"/>
        </w:rPr>
        <w:drawing>
          <wp:anchor distT="0" distB="0" distL="114300" distR="114300" simplePos="0" relativeHeight="251666432" behindDoc="0" locked="0" layoutInCell="1" allowOverlap="1" wp14:anchorId="78C467B9" wp14:editId="21CC1128">
            <wp:simplePos x="0" y="0"/>
            <wp:positionH relativeFrom="column">
              <wp:posOffset>3381292</wp:posOffset>
            </wp:positionH>
            <wp:positionV relativeFrom="paragraph">
              <wp:posOffset>4464685</wp:posOffset>
            </wp:positionV>
            <wp:extent cx="2881630" cy="826135"/>
            <wp:effectExtent l="0" t="0" r="0" b="0"/>
            <wp:wrapTopAndBottom/>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08C" w:rsidRPr="0081592D" w:rsidRDefault="009E708C" w:rsidP="0022700E">
      <w:pPr>
        <w:jc w:val="both"/>
        <w:rPr>
          <w:rFonts w:ascii="Arial" w:hAnsi="Arial" w:cs="Arial"/>
          <w:b/>
        </w:rPr>
      </w:pPr>
    </w:p>
    <w:p w:rsidR="009E708C" w:rsidRPr="0081592D" w:rsidRDefault="009E708C" w:rsidP="0022700E">
      <w:pPr>
        <w:jc w:val="both"/>
        <w:rPr>
          <w:rFonts w:ascii="Arial" w:hAnsi="Arial" w:cs="Arial"/>
          <w:b/>
        </w:rPr>
      </w:pPr>
    </w:p>
    <w:p w:rsidR="009E708C" w:rsidRPr="0081592D" w:rsidRDefault="009E708C" w:rsidP="0022700E">
      <w:pPr>
        <w:jc w:val="both"/>
        <w:rPr>
          <w:rFonts w:ascii="Arial" w:hAnsi="Arial" w:cs="Arial"/>
          <w:b/>
        </w:rPr>
      </w:pPr>
    </w:p>
    <w:p w:rsidR="00B86932" w:rsidRPr="00A4506C" w:rsidRDefault="00B86932" w:rsidP="00A4506C">
      <w:pPr>
        <w:jc w:val="both"/>
        <w:rPr>
          <w:rFonts w:ascii="Arial" w:hAnsi="Arial" w:cs="Arial"/>
          <w:b/>
        </w:rPr>
      </w:pPr>
    </w:p>
    <w:sdt>
      <w:sdtPr>
        <w:rPr>
          <w:rFonts w:ascii="Arial" w:eastAsiaTheme="minorEastAsia" w:hAnsi="Arial" w:cs="Arial"/>
          <w:b w:val="0"/>
          <w:bCs w:val="0"/>
          <w:color w:val="auto"/>
          <w:sz w:val="24"/>
          <w:szCs w:val="24"/>
          <w:lang w:val="es-ES"/>
        </w:rPr>
        <w:id w:val="-928272330"/>
        <w:docPartObj>
          <w:docPartGallery w:val="Table of Contents"/>
          <w:docPartUnique/>
        </w:docPartObj>
      </w:sdtPr>
      <w:sdtEndPr>
        <w:rPr>
          <w:rFonts w:asciiTheme="minorHAnsi" w:hAnsiTheme="minorHAnsi" w:cstheme="minorBidi"/>
          <w:noProof/>
          <w:lang w:val="es-ES_tradnl"/>
        </w:rPr>
      </w:sdtEndPr>
      <w:sdtContent>
        <w:p w:rsidR="00B86932" w:rsidRPr="00CA0C0B" w:rsidRDefault="00B86932" w:rsidP="00F1346E">
          <w:pPr>
            <w:pStyle w:val="TtuloTDC"/>
            <w:tabs>
              <w:tab w:val="right" w:pos="9475"/>
            </w:tabs>
            <w:rPr>
              <w:rFonts w:ascii="Arial" w:hAnsi="Arial" w:cs="Arial"/>
            </w:rPr>
          </w:pPr>
          <w:r w:rsidRPr="00CA0C0B">
            <w:rPr>
              <w:rFonts w:ascii="Arial" w:hAnsi="Arial" w:cs="Arial"/>
              <w:lang w:val="es-ES"/>
            </w:rPr>
            <w:t>Tabla de contenido</w:t>
          </w:r>
          <w:r w:rsidR="00F1346E">
            <w:rPr>
              <w:rFonts w:ascii="Arial" w:hAnsi="Arial" w:cs="Arial"/>
              <w:lang w:val="es-ES"/>
            </w:rPr>
            <w:tab/>
          </w:r>
        </w:p>
        <w:p w:rsidR="00974D36" w:rsidRDefault="00B86932">
          <w:pPr>
            <w:pStyle w:val="TDC1"/>
            <w:tabs>
              <w:tab w:val="right" w:leader="dot" w:pos="9465"/>
            </w:tabs>
            <w:rPr>
              <w:b w:val="0"/>
              <w:noProof/>
              <w:sz w:val="22"/>
              <w:szCs w:val="22"/>
              <w:lang w:val="es-CO" w:eastAsia="es-CO"/>
            </w:rPr>
          </w:pPr>
          <w:r w:rsidRPr="00CA0C0B">
            <w:rPr>
              <w:rFonts w:ascii="Arial" w:hAnsi="Arial" w:cs="Arial"/>
              <w:b w:val="0"/>
            </w:rPr>
            <w:fldChar w:fldCharType="begin"/>
          </w:r>
          <w:r w:rsidRPr="00CA0C0B">
            <w:rPr>
              <w:rFonts w:ascii="Arial" w:hAnsi="Arial" w:cs="Arial"/>
            </w:rPr>
            <w:instrText>TOC \o "1-3" \h \z \u</w:instrText>
          </w:r>
          <w:r w:rsidRPr="00CA0C0B">
            <w:rPr>
              <w:rFonts w:ascii="Arial" w:hAnsi="Arial" w:cs="Arial"/>
              <w:b w:val="0"/>
            </w:rPr>
            <w:fldChar w:fldCharType="separate"/>
          </w:r>
          <w:hyperlink w:anchor="_Toc500770290" w:history="1">
            <w:r w:rsidR="00974D36" w:rsidRPr="000D60FD">
              <w:rPr>
                <w:rStyle w:val="Hipervnculo"/>
                <w:noProof/>
              </w:rPr>
              <w:t>1. INTRODUCCIÓN</w:t>
            </w:r>
            <w:r w:rsidR="00974D36">
              <w:rPr>
                <w:noProof/>
                <w:webHidden/>
              </w:rPr>
              <w:tab/>
            </w:r>
            <w:r w:rsidR="00974D36">
              <w:rPr>
                <w:noProof/>
                <w:webHidden/>
              </w:rPr>
              <w:fldChar w:fldCharType="begin"/>
            </w:r>
            <w:r w:rsidR="00974D36">
              <w:rPr>
                <w:noProof/>
                <w:webHidden/>
              </w:rPr>
              <w:instrText xml:space="preserve"> PAGEREF _Toc500770290 \h </w:instrText>
            </w:r>
            <w:r w:rsidR="00974D36">
              <w:rPr>
                <w:noProof/>
                <w:webHidden/>
              </w:rPr>
            </w:r>
            <w:r w:rsidR="00974D36">
              <w:rPr>
                <w:noProof/>
                <w:webHidden/>
              </w:rPr>
              <w:fldChar w:fldCharType="separate"/>
            </w:r>
            <w:r w:rsidR="00974D36">
              <w:rPr>
                <w:noProof/>
                <w:webHidden/>
              </w:rPr>
              <w:t>3</w:t>
            </w:r>
            <w:r w:rsidR="00974D36">
              <w:rPr>
                <w:noProof/>
                <w:webHidden/>
              </w:rPr>
              <w:fldChar w:fldCharType="end"/>
            </w:r>
          </w:hyperlink>
        </w:p>
        <w:p w:rsidR="00974D36" w:rsidRDefault="008A59BB">
          <w:pPr>
            <w:pStyle w:val="TDC1"/>
            <w:tabs>
              <w:tab w:val="right" w:leader="dot" w:pos="9465"/>
            </w:tabs>
            <w:rPr>
              <w:b w:val="0"/>
              <w:noProof/>
              <w:sz w:val="22"/>
              <w:szCs w:val="22"/>
              <w:lang w:val="es-CO" w:eastAsia="es-CO"/>
            </w:rPr>
          </w:pPr>
          <w:hyperlink w:anchor="_Toc500770291" w:history="1">
            <w:r w:rsidR="00974D36" w:rsidRPr="000D60FD">
              <w:rPr>
                <w:rStyle w:val="Hipervnculo"/>
                <w:noProof/>
              </w:rPr>
              <w:t>2. MARCO LEGAL</w:t>
            </w:r>
            <w:r w:rsidR="00974D36">
              <w:rPr>
                <w:noProof/>
                <w:webHidden/>
              </w:rPr>
              <w:tab/>
            </w:r>
            <w:r w:rsidR="00974D36">
              <w:rPr>
                <w:noProof/>
                <w:webHidden/>
              </w:rPr>
              <w:fldChar w:fldCharType="begin"/>
            </w:r>
            <w:r w:rsidR="00974D36">
              <w:rPr>
                <w:noProof/>
                <w:webHidden/>
              </w:rPr>
              <w:instrText xml:space="preserve"> PAGEREF _Toc500770291 \h </w:instrText>
            </w:r>
            <w:r w:rsidR="00974D36">
              <w:rPr>
                <w:noProof/>
                <w:webHidden/>
              </w:rPr>
            </w:r>
            <w:r w:rsidR="00974D36">
              <w:rPr>
                <w:noProof/>
                <w:webHidden/>
              </w:rPr>
              <w:fldChar w:fldCharType="separate"/>
            </w:r>
            <w:r w:rsidR="00974D36">
              <w:rPr>
                <w:noProof/>
                <w:webHidden/>
              </w:rPr>
              <w:t>3</w:t>
            </w:r>
            <w:r w:rsidR="00974D36">
              <w:rPr>
                <w:noProof/>
                <w:webHidden/>
              </w:rPr>
              <w:fldChar w:fldCharType="end"/>
            </w:r>
          </w:hyperlink>
        </w:p>
        <w:p w:rsidR="00974D36" w:rsidRDefault="008A59BB">
          <w:pPr>
            <w:pStyle w:val="TDC1"/>
            <w:tabs>
              <w:tab w:val="right" w:leader="dot" w:pos="9465"/>
            </w:tabs>
            <w:rPr>
              <w:b w:val="0"/>
              <w:noProof/>
              <w:sz w:val="22"/>
              <w:szCs w:val="22"/>
              <w:lang w:val="es-CO" w:eastAsia="es-CO"/>
            </w:rPr>
          </w:pPr>
          <w:hyperlink w:anchor="_Toc500770292" w:history="1">
            <w:r w:rsidR="00974D36" w:rsidRPr="000D60FD">
              <w:rPr>
                <w:rStyle w:val="Hipervnculo"/>
                <w:noProof/>
              </w:rPr>
              <w:t>3. PROCEDIMIENTO DE COBRO COMISIÓN DE REGULACIÓN DE AGUA POTABLE Y SANEAMIENTO BÁSICO -CRA-</w:t>
            </w:r>
            <w:r w:rsidR="00974D36">
              <w:rPr>
                <w:noProof/>
                <w:webHidden/>
              </w:rPr>
              <w:tab/>
            </w:r>
            <w:r w:rsidR="00974D36">
              <w:rPr>
                <w:noProof/>
                <w:webHidden/>
              </w:rPr>
              <w:fldChar w:fldCharType="begin"/>
            </w:r>
            <w:r w:rsidR="00974D36">
              <w:rPr>
                <w:noProof/>
                <w:webHidden/>
              </w:rPr>
              <w:instrText xml:space="preserve"> PAGEREF _Toc500770292 \h </w:instrText>
            </w:r>
            <w:r w:rsidR="00974D36">
              <w:rPr>
                <w:noProof/>
                <w:webHidden/>
              </w:rPr>
            </w:r>
            <w:r w:rsidR="00974D36">
              <w:rPr>
                <w:noProof/>
                <w:webHidden/>
              </w:rPr>
              <w:fldChar w:fldCharType="separate"/>
            </w:r>
            <w:r w:rsidR="00974D36">
              <w:rPr>
                <w:noProof/>
                <w:webHidden/>
              </w:rPr>
              <w:t>4</w:t>
            </w:r>
            <w:r w:rsidR="00974D36">
              <w:rPr>
                <w:noProof/>
                <w:webHidden/>
              </w:rPr>
              <w:fldChar w:fldCharType="end"/>
            </w:r>
          </w:hyperlink>
        </w:p>
        <w:p w:rsidR="00974D36" w:rsidRDefault="008A59BB">
          <w:pPr>
            <w:pStyle w:val="TDC1"/>
            <w:tabs>
              <w:tab w:val="right" w:leader="dot" w:pos="9465"/>
            </w:tabs>
            <w:rPr>
              <w:b w:val="0"/>
              <w:noProof/>
              <w:sz w:val="22"/>
              <w:szCs w:val="22"/>
              <w:lang w:val="es-CO" w:eastAsia="es-CO"/>
            </w:rPr>
          </w:pPr>
          <w:hyperlink w:anchor="_Toc500770293" w:history="1">
            <w:r w:rsidR="00974D36" w:rsidRPr="000D60FD">
              <w:rPr>
                <w:rStyle w:val="Hipervnculo"/>
                <w:noProof/>
              </w:rPr>
              <w:t>4. DEFICIENCIA DE LA METODOLOGIA UTILIZADA POR LA CRA</w:t>
            </w:r>
            <w:r w:rsidR="00974D36">
              <w:rPr>
                <w:noProof/>
                <w:webHidden/>
              </w:rPr>
              <w:tab/>
            </w:r>
            <w:r w:rsidR="00974D36">
              <w:rPr>
                <w:noProof/>
                <w:webHidden/>
              </w:rPr>
              <w:fldChar w:fldCharType="begin"/>
            </w:r>
            <w:r w:rsidR="00974D36">
              <w:rPr>
                <w:noProof/>
                <w:webHidden/>
              </w:rPr>
              <w:instrText xml:space="preserve"> PAGEREF _Toc500770293 \h </w:instrText>
            </w:r>
            <w:r w:rsidR="00974D36">
              <w:rPr>
                <w:noProof/>
                <w:webHidden/>
              </w:rPr>
            </w:r>
            <w:r w:rsidR="00974D36">
              <w:rPr>
                <w:noProof/>
                <w:webHidden/>
              </w:rPr>
              <w:fldChar w:fldCharType="separate"/>
            </w:r>
            <w:r w:rsidR="00974D36">
              <w:rPr>
                <w:noProof/>
                <w:webHidden/>
              </w:rPr>
              <w:t>5</w:t>
            </w:r>
            <w:r w:rsidR="00974D36">
              <w:rPr>
                <w:noProof/>
                <w:webHidden/>
              </w:rPr>
              <w:fldChar w:fldCharType="end"/>
            </w:r>
          </w:hyperlink>
        </w:p>
        <w:p w:rsidR="00974D36" w:rsidRDefault="008A59BB">
          <w:pPr>
            <w:pStyle w:val="TDC1"/>
            <w:tabs>
              <w:tab w:val="right" w:leader="dot" w:pos="9465"/>
            </w:tabs>
            <w:rPr>
              <w:b w:val="0"/>
              <w:noProof/>
              <w:sz w:val="22"/>
              <w:szCs w:val="22"/>
              <w:lang w:val="es-CO" w:eastAsia="es-CO"/>
            </w:rPr>
          </w:pPr>
          <w:hyperlink w:anchor="_Toc500770294" w:history="1">
            <w:r w:rsidR="00974D36" w:rsidRPr="000D60FD">
              <w:rPr>
                <w:rStyle w:val="Hipervnculo"/>
                <w:noProof/>
              </w:rPr>
              <w:t>5. PROPUESTA A LA COMISIÓN DE REGULACIÓN</w:t>
            </w:r>
            <w:r w:rsidR="00974D36">
              <w:rPr>
                <w:noProof/>
                <w:webHidden/>
              </w:rPr>
              <w:tab/>
            </w:r>
            <w:r w:rsidR="00974D36">
              <w:rPr>
                <w:noProof/>
                <w:webHidden/>
              </w:rPr>
              <w:fldChar w:fldCharType="begin"/>
            </w:r>
            <w:r w:rsidR="00974D36">
              <w:rPr>
                <w:noProof/>
                <w:webHidden/>
              </w:rPr>
              <w:instrText xml:space="preserve"> PAGEREF _Toc500770294 \h </w:instrText>
            </w:r>
            <w:r w:rsidR="00974D36">
              <w:rPr>
                <w:noProof/>
                <w:webHidden/>
              </w:rPr>
            </w:r>
            <w:r w:rsidR="00974D36">
              <w:rPr>
                <w:noProof/>
                <w:webHidden/>
              </w:rPr>
              <w:fldChar w:fldCharType="separate"/>
            </w:r>
            <w:r w:rsidR="00974D36">
              <w:rPr>
                <w:noProof/>
                <w:webHidden/>
              </w:rPr>
              <w:t>6</w:t>
            </w:r>
            <w:r w:rsidR="00974D36">
              <w:rPr>
                <w:noProof/>
                <w:webHidden/>
              </w:rPr>
              <w:fldChar w:fldCharType="end"/>
            </w:r>
          </w:hyperlink>
        </w:p>
        <w:p w:rsidR="00B86932" w:rsidRDefault="00B86932">
          <w:r w:rsidRPr="00CA0C0B">
            <w:rPr>
              <w:rFonts w:ascii="Arial" w:hAnsi="Arial" w:cs="Arial"/>
              <w:b/>
              <w:bCs/>
              <w:noProof/>
            </w:rPr>
            <w:fldChar w:fldCharType="end"/>
          </w:r>
        </w:p>
      </w:sdtContent>
    </w:sdt>
    <w:p w:rsidR="0022700E" w:rsidRDefault="0022700E" w:rsidP="0022700E">
      <w:pPr>
        <w:pStyle w:val="Prrafodelista"/>
        <w:jc w:val="both"/>
        <w:rPr>
          <w:rFonts w:ascii="Arial" w:hAnsi="Arial" w:cs="Arial"/>
          <w:b/>
        </w:rPr>
      </w:pPr>
    </w:p>
    <w:p w:rsidR="00083100" w:rsidRPr="0081592D" w:rsidRDefault="0022700E" w:rsidP="00E23928">
      <w:pPr>
        <w:pStyle w:val="Ttulo1"/>
        <w:jc w:val="center"/>
      </w:pPr>
      <w:r w:rsidRPr="00E23928">
        <w:br w:type="column"/>
      </w:r>
      <w:bookmarkStart w:id="1" w:name="_Toc500770290"/>
      <w:r>
        <w:lastRenderedPageBreak/>
        <w:t xml:space="preserve">1. </w:t>
      </w:r>
      <w:r w:rsidR="00F1346E">
        <w:t>INTRODUCCIÓN</w:t>
      </w:r>
      <w:bookmarkEnd w:id="1"/>
    </w:p>
    <w:p w:rsidR="00242414" w:rsidRPr="0022700E" w:rsidRDefault="00F1346E" w:rsidP="0022700E">
      <w:pPr>
        <w:spacing w:after="274"/>
        <w:jc w:val="both"/>
        <w:rPr>
          <w:rFonts w:ascii="Arial" w:hAnsi="Arial" w:cs="Arial"/>
        </w:rPr>
      </w:pPr>
      <w:bookmarkStart w:id="2" w:name="_Toc23829"/>
      <w:r>
        <w:rPr>
          <w:rFonts w:ascii="Arial" w:hAnsi="Arial" w:cs="Arial"/>
        </w:rPr>
        <w:t xml:space="preserve">La Comisión de Regulación de Agua Potable y Saneamiento Básico desde el </w:t>
      </w:r>
      <w:r w:rsidR="00FD6349">
        <w:rPr>
          <w:rFonts w:ascii="Arial" w:hAnsi="Arial" w:cs="Arial"/>
        </w:rPr>
        <w:t xml:space="preserve">año </w:t>
      </w:r>
      <w:r>
        <w:rPr>
          <w:rFonts w:ascii="Arial" w:hAnsi="Arial" w:cs="Arial"/>
        </w:rPr>
        <w:t>1996</w:t>
      </w:r>
      <w:r w:rsidR="00E37E20">
        <w:rPr>
          <w:rFonts w:ascii="Arial" w:hAnsi="Arial" w:cs="Arial"/>
        </w:rPr>
        <w:t>,</w:t>
      </w:r>
      <w:r>
        <w:rPr>
          <w:rFonts w:ascii="Arial" w:hAnsi="Arial" w:cs="Arial"/>
        </w:rPr>
        <w:t xml:space="preserve"> viene aplicando una metodología para liquidar y cobrar la contribución de que trata el art</w:t>
      </w:r>
      <w:r w:rsidR="00FD6349">
        <w:rPr>
          <w:rFonts w:ascii="Arial" w:hAnsi="Arial" w:cs="Arial"/>
        </w:rPr>
        <w:t>ículo 85 de la Ley 142 de 1994 y que a continuación se señala.</w:t>
      </w:r>
    </w:p>
    <w:p w:rsidR="0022700E" w:rsidRPr="00E23928" w:rsidRDefault="0022700E" w:rsidP="00E23928">
      <w:pPr>
        <w:pStyle w:val="Ttulo1"/>
        <w:jc w:val="center"/>
      </w:pPr>
      <w:bookmarkStart w:id="3" w:name="_Toc500770291"/>
      <w:r w:rsidRPr="00E23928">
        <w:t xml:space="preserve">2. </w:t>
      </w:r>
      <w:r w:rsidR="002B4C92">
        <w:t>MARCO LEGAL</w:t>
      </w:r>
      <w:bookmarkEnd w:id="3"/>
    </w:p>
    <w:p w:rsidR="002B4C92" w:rsidRDefault="00FD6349" w:rsidP="0022700E">
      <w:pPr>
        <w:jc w:val="both"/>
        <w:rPr>
          <w:rFonts w:ascii="Arial" w:hAnsi="Arial" w:cs="Arial"/>
          <w:lang w:val="es-CO"/>
        </w:rPr>
      </w:pPr>
      <w:r>
        <w:rPr>
          <w:rFonts w:ascii="Arial" w:hAnsi="Arial" w:cs="Arial"/>
          <w:lang w:val="es-CO"/>
        </w:rPr>
        <w:t>El a</w:t>
      </w:r>
      <w:r w:rsidR="002B4C92">
        <w:rPr>
          <w:rFonts w:ascii="Arial" w:hAnsi="Arial" w:cs="Arial"/>
          <w:lang w:val="es-CO"/>
        </w:rPr>
        <w:t>rtículo 85 de la Ley 14</w:t>
      </w:r>
      <w:r>
        <w:rPr>
          <w:rFonts w:ascii="Arial" w:hAnsi="Arial" w:cs="Arial"/>
          <w:lang w:val="es-CO"/>
        </w:rPr>
        <w:t>2 de 1994, estableció</w:t>
      </w:r>
      <w:r w:rsidR="002B4C92">
        <w:rPr>
          <w:rFonts w:ascii="Arial" w:hAnsi="Arial" w:cs="Arial"/>
          <w:lang w:val="es-CO"/>
        </w:rPr>
        <w:t xml:space="preserve"> la contribución especial que permite cubrir el presupuesto tanto para la Superintendencia de Servicios Públicos, Comisión de Regulación de Energía y Gas como para la Comisión de Regulación de Agua Potable</w:t>
      </w:r>
      <w:r>
        <w:rPr>
          <w:rFonts w:ascii="Arial" w:hAnsi="Arial" w:cs="Arial"/>
          <w:lang w:val="es-CO"/>
        </w:rPr>
        <w:t xml:space="preserve"> y Saneamiento Básico –CRA-</w:t>
      </w:r>
      <w:r w:rsidR="002B4C92">
        <w:rPr>
          <w:rFonts w:ascii="Arial" w:hAnsi="Arial" w:cs="Arial"/>
          <w:lang w:val="es-CO"/>
        </w:rPr>
        <w:t>:</w:t>
      </w:r>
    </w:p>
    <w:p w:rsidR="002B4C92" w:rsidRPr="002B4C92" w:rsidRDefault="002B4C92" w:rsidP="002B4C92">
      <w:pPr>
        <w:pStyle w:val="NormalWeb"/>
        <w:ind w:left="630"/>
        <w:jc w:val="both"/>
        <w:rPr>
          <w:rFonts w:ascii="Arial" w:hAnsi="Arial" w:cs="Arial"/>
          <w:i/>
        </w:rPr>
      </w:pPr>
      <w:r>
        <w:rPr>
          <w:rFonts w:ascii="Arial" w:hAnsi="Arial" w:cs="Arial"/>
          <w:b/>
          <w:bCs/>
        </w:rPr>
        <w:t>“</w:t>
      </w:r>
      <w:r w:rsidRPr="002B4C92">
        <w:rPr>
          <w:rFonts w:ascii="Arial" w:hAnsi="Arial" w:cs="Arial"/>
          <w:b/>
          <w:bCs/>
          <w:i/>
        </w:rPr>
        <w:t>Artículo 85</w:t>
      </w:r>
      <w:r w:rsidRPr="002B4C92">
        <w:rPr>
          <w:rFonts w:ascii="Arial" w:hAnsi="Arial" w:cs="Arial"/>
          <w:i/>
        </w:rPr>
        <w:t xml:space="preserve">. </w:t>
      </w:r>
      <w:r w:rsidRPr="002B4C92">
        <w:rPr>
          <w:rFonts w:ascii="Arial" w:hAnsi="Arial" w:cs="Arial"/>
          <w:b/>
          <w:bCs/>
          <w:i/>
        </w:rPr>
        <w:t>Contribuciones especiales.</w:t>
      </w:r>
      <w:r w:rsidRPr="002B4C92">
        <w:rPr>
          <w:rFonts w:ascii="Arial" w:hAnsi="Arial" w:cs="Arial"/>
          <w:i/>
        </w:rPr>
        <w:t xml:space="preserve"> Con el fin de recuperar los costos del servicio de regulación que preste cada comisión, y los de control y vigilancia que preste el Superintendente, las entidades sometidas a su regulación, control y vigilancia, estarán sujetas a dos contribuciones, que se liquidarán y pagarán cada año conforme a las siguientes reglas:</w:t>
      </w:r>
    </w:p>
    <w:p w:rsidR="002B4C92" w:rsidRPr="002B4C92" w:rsidRDefault="002B4C92" w:rsidP="002B4C92">
      <w:pPr>
        <w:pStyle w:val="NormalWeb"/>
        <w:ind w:left="630"/>
        <w:jc w:val="both"/>
        <w:rPr>
          <w:rFonts w:ascii="Arial" w:hAnsi="Arial" w:cs="Arial"/>
          <w:i/>
        </w:rPr>
      </w:pPr>
      <w:r w:rsidRPr="002B4C92">
        <w:rPr>
          <w:rFonts w:ascii="Arial" w:hAnsi="Arial" w:cs="Arial"/>
          <w:i/>
        </w:rPr>
        <w:t>85.1. Para definir los costos de los servicios que presten las Comisiones y la Superintendencia, se tendrán en cuenta todos los gastos de funcionamiento, y la depreciación, amortización u obsolescencia de sus activos, en el período anual respectivo.</w:t>
      </w:r>
    </w:p>
    <w:p w:rsidR="002B4C92" w:rsidRPr="002B4C92" w:rsidRDefault="002B4C92" w:rsidP="002B4C92">
      <w:pPr>
        <w:pStyle w:val="NormalWeb"/>
        <w:ind w:left="630"/>
        <w:jc w:val="both"/>
        <w:rPr>
          <w:rFonts w:ascii="Arial" w:hAnsi="Arial" w:cs="Arial"/>
          <w:i/>
        </w:rPr>
      </w:pPr>
      <w:r w:rsidRPr="002B4C92">
        <w:rPr>
          <w:rFonts w:ascii="Arial" w:hAnsi="Arial" w:cs="Arial"/>
          <w:i/>
        </w:rPr>
        <w:t>85.2. La superintendencia y las comisiones presupuestarán sus gastos cada año y cobrarán dentro de los límites que enseguida se señalan, solamente la tarifa que arroje el valor necesario para cubrir su presupuesto anual.</w:t>
      </w:r>
    </w:p>
    <w:p w:rsidR="002B4C92" w:rsidRPr="002B4C92" w:rsidRDefault="002B4C92" w:rsidP="002B4C92">
      <w:pPr>
        <w:pStyle w:val="NormalWeb"/>
        <w:ind w:left="630"/>
        <w:jc w:val="both"/>
        <w:rPr>
          <w:rFonts w:ascii="Arial" w:hAnsi="Arial" w:cs="Arial"/>
          <w:i/>
        </w:rPr>
      </w:pPr>
      <w:r w:rsidRPr="002B4C92">
        <w:rPr>
          <w:rFonts w:ascii="Arial" w:hAnsi="Arial" w:cs="Arial"/>
          <w:i/>
        </w:rPr>
        <w:t>La tarifa máxima de cada contribución no podrá ser superior al uno por ciento (1%) del valor de los gastos de funcionamiento, asociados al servicio sometido a regulación, de la entidad contribuyente en el año anterior a aquel en el que se haga el cobro, de acuerdo con los estados financieros puestos a disposición de la Superintendencia y de las Comisiones, cada una de las cuales e independientemente y con base en su estudio fijarán la tarifa correspondiente.</w:t>
      </w:r>
    </w:p>
    <w:p w:rsidR="002B4C92" w:rsidRPr="002B4C92" w:rsidRDefault="002B4C92" w:rsidP="002B4C92">
      <w:pPr>
        <w:pStyle w:val="NormalWeb"/>
        <w:ind w:left="630"/>
        <w:jc w:val="both"/>
        <w:rPr>
          <w:rFonts w:ascii="Arial" w:hAnsi="Arial" w:cs="Arial"/>
          <w:i/>
        </w:rPr>
      </w:pPr>
      <w:r w:rsidRPr="002B4C92">
        <w:rPr>
          <w:rFonts w:ascii="Arial" w:hAnsi="Arial" w:cs="Arial"/>
          <w:i/>
        </w:rPr>
        <w:t>85.3. Si en algún momento las Comisiones o la Superintendencia tuvieren excedentes, deberán reembolsarlos a los contribuyentes, o abonarlos a las contribuciones del siguiente período, o transferirlos a la Nación, si las otras medidas no fueran posibles.</w:t>
      </w:r>
    </w:p>
    <w:p w:rsidR="002B4C92" w:rsidRPr="002B4C92" w:rsidRDefault="002B4C92" w:rsidP="002B4C92">
      <w:pPr>
        <w:pStyle w:val="NormalWeb"/>
        <w:ind w:left="630"/>
        <w:jc w:val="both"/>
        <w:rPr>
          <w:rFonts w:ascii="Arial" w:hAnsi="Arial" w:cs="Arial"/>
          <w:i/>
        </w:rPr>
      </w:pPr>
      <w:r w:rsidRPr="002B4C92">
        <w:rPr>
          <w:rFonts w:ascii="Arial" w:hAnsi="Arial" w:cs="Arial"/>
          <w:i/>
        </w:rPr>
        <w:t>85.4. El cálculo de la suma a cargo de cada contribuyente, en cuanto a los costos de regulación, se hará teniendo en cuenta los costos de la comisión que regula el sector en el cual se desempeña; y el de los costos de vigilancia, atendiendo a los de la Superintendencia.</w:t>
      </w:r>
    </w:p>
    <w:p w:rsidR="002B4C92" w:rsidRPr="002B4C92" w:rsidRDefault="002B4C92" w:rsidP="002B4C92">
      <w:pPr>
        <w:pStyle w:val="NormalWeb"/>
        <w:ind w:left="630"/>
        <w:jc w:val="both"/>
        <w:rPr>
          <w:rFonts w:ascii="Arial" w:hAnsi="Arial" w:cs="Arial"/>
          <w:i/>
        </w:rPr>
      </w:pPr>
      <w:r w:rsidRPr="002B4C92">
        <w:rPr>
          <w:rFonts w:ascii="Arial" w:hAnsi="Arial" w:cs="Arial"/>
          <w:i/>
        </w:rPr>
        <w:t xml:space="preserve">85.5. La liquidación y recaudo de las contribuciones correspondientes al servicio de regulación se efectuará por las comisiones respectivas y las correspondientes al servicio de inspección, control y vigilancia estarán a cargo de la Superintendencia. </w:t>
      </w:r>
    </w:p>
    <w:p w:rsidR="002B4C92" w:rsidRPr="002B4C92" w:rsidRDefault="002B4C92" w:rsidP="002B4C92">
      <w:pPr>
        <w:pStyle w:val="NormalWeb"/>
        <w:ind w:left="630"/>
        <w:jc w:val="both"/>
        <w:rPr>
          <w:rFonts w:ascii="Arial" w:hAnsi="Arial" w:cs="Arial"/>
          <w:i/>
        </w:rPr>
      </w:pPr>
      <w:r w:rsidRPr="002B4C92">
        <w:rPr>
          <w:rFonts w:ascii="Arial" w:hAnsi="Arial" w:cs="Arial"/>
          <w:i/>
        </w:rPr>
        <w:lastRenderedPageBreak/>
        <w:t>85.6. Una vez en firme las liquidaciones deberán ser canceladas dentro del mes siguiente. Se aplicará el mismo régimen de sanción por mora aplicable al impuesto sobre la renta y complementarios, sin perjuicio de las demás sanciones de que trata esta Ley.</w:t>
      </w:r>
    </w:p>
    <w:p w:rsidR="002B4C92" w:rsidRPr="002B4C92" w:rsidRDefault="002B4C92" w:rsidP="002B4C92">
      <w:pPr>
        <w:pStyle w:val="NormalWeb"/>
        <w:ind w:left="630"/>
        <w:jc w:val="both"/>
        <w:rPr>
          <w:rFonts w:ascii="Arial" w:hAnsi="Arial" w:cs="Arial"/>
          <w:i/>
        </w:rPr>
      </w:pPr>
      <w:r w:rsidRPr="002B4C92">
        <w:rPr>
          <w:rFonts w:ascii="Arial" w:hAnsi="Arial" w:cs="Arial"/>
          <w:b/>
          <w:bCs/>
          <w:i/>
        </w:rPr>
        <w:t>Parágrafo 1o</w:t>
      </w:r>
      <w:r w:rsidRPr="002B4C92">
        <w:rPr>
          <w:rFonts w:ascii="Arial" w:hAnsi="Arial" w:cs="Arial"/>
          <w:i/>
        </w:rPr>
        <w:t>. Las Comisiones y la Superintendencia se financiarán exclusivamente con las contribuciones a las que se refiere este artículo y con la venta de sus publicaciones. Sin embargo, el gobierno incluirá en el presupuesto de la Nación apropiaciones suficientes para el funcionamiento de las Comisiones y de la Superintendencia durante los dos primeros años.</w:t>
      </w:r>
    </w:p>
    <w:p w:rsidR="002B4C92" w:rsidRDefault="002B4C92" w:rsidP="002B4C92">
      <w:pPr>
        <w:ind w:left="630"/>
        <w:jc w:val="both"/>
        <w:rPr>
          <w:rFonts w:ascii="Arial" w:hAnsi="Arial" w:cs="Arial"/>
          <w:i/>
          <w:sz w:val="20"/>
          <w:szCs w:val="20"/>
        </w:rPr>
      </w:pPr>
      <w:r w:rsidRPr="002B4C92">
        <w:rPr>
          <w:rFonts w:ascii="Arial" w:hAnsi="Arial" w:cs="Arial"/>
          <w:b/>
          <w:bCs/>
          <w:i/>
          <w:sz w:val="20"/>
          <w:szCs w:val="20"/>
        </w:rPr>
        <w:t>Parágrafo 2o</w:t>
      </w:r>
      <w:r w:rsidRPr="002B4C92">
        <w:rPr>
          <w:rFonts w:ascii="Arial" w:hAnsi="Arial" w:cs="Arial"/>
          <w:i/>
          <w:sz w:val="20"/>
          <w:szCs w:val="20"/>
        </w:rPr>
        <w:t>. Al fijar las contribuciones especiales se eliminarán, de los gastos de funcionamiento, los gastos operativos; en las empresas del sector eléctrico, las compras de electricidad, las compras de combustibles y los peajes, cuando hubiere lugar a ello; y en las empresas de otros sectores los gastos de naturaleza similar a éstos. Estos rubros podrán ser adicionados en la misma proporción en que sean indispensables para cubrir faltantes presupuestales de las comisiones y la superintendencia.</w:t>
      </w:r>
      <w:r>
        <w:rPr>
          <w:rFonts w:ascii="Arial" w:hAnsi="Arial" w:cs="Arial"/>
          <w:i/>
          <w:sz w:val="20"/>
          <w:szCs w:val="20"/>
        </w:rPr>
        <w:t>”</w:t>
      </w:r>
    </w:p>
    <w:p w:rsidR="002B4C92" w:rsidRDefault="002B4C92" w:rsidP="002B4C92">
      <w:pPr>
        <w:ind w:left="630"/>
        <w:jc w:val="both"/>
        <w:rPr>
          <w:rFonts w:ascii="Arial" w:hAnsi="Arial" w:cs="Arial"/>
          <w:i/>
          <w:sz w:val="20"/>
          <w:szCs w:val="20"/>
          <w:lang w:val="es-CO"/>
        </w:rPr>
      </w:pPr>
    </w:p>
    <w:p w:rsidR="002B4C92" w:rsidRDefault="002B4C92" w:rsidP="002B4C92">
      <w:pPr>
        <w:tabs>
          <w:tab w:val="left" w:pos="540"/>
        </w:tabs>
        <w:jc w:val="both"/>
        <w:rPr>
          <w:rFonts w:ascii="Arial" w:hAnsi="Arial" w:cs="Arial"/>
          <w:lang w:val="es-CO"/>
        </w:rPr>
      </w:pPr>
      <w:r>
        <w:rPr>
          <w:rFonts w:ascii="Arial" w:hAnsi="Arial" w:cs="Arial"/>
          <w:lang w:val="es-CO"/>
        </w:rPr>
        <w:t>Adicionalmente, para el sector de acueducto, alcantarillado y aseo, se</w:t>
      </w:r>
      <w:r w:rsidR="001B7F59">
        <w:rPr>
          <w:rFonts w:ascii="Arial" w:hAnsi="Arial" w:cs="Arial"/>
          <w:lang w:val="es-CO"/>
        </w:rPr>
        <w:t xml:space="preserve"> expidió </w:t>
      </w:r>
      <w:r>
        <w:rPr>
          <w:rFonts w:ascii="Arial" w:hAnsi="Arial" w:cs="Arial"/>
          <w:lang w:val="es-CO"/>
        </w:rPr>
        <w:t>el Decreto 707 de 1995, el cual reglamentó el artículo 85 de la Ley 142</w:t>
      </w:r>
      <w:r w:rsidR="00FD6349">
        <w:rPr>
          <w:rFonts w:ascii="Arial" w:hAnsi="Arial" w:cs="Arial"/>
          <w:lang w:val="es-CO"/>
        </w:rPr>
        <w:t xml:space="preserve"> de 1994, del cual </w:t>
      </w:r>
      <w:r w:rsidR="001B7F59">
        <w:rPr>
          <w:rFonts w:ascii="Arial" w:hAnsi="Arial" w:cs="Arial"/>
          <w:lang w:val="es-CO"/>
        </w:rPr>
        <w:t xml:space="preserve">se </w:t>
      </w:r>
      <w:r>
        <w:rPr>
          <w:rFonts w:ascii="Arial" w:hAnsi="Arial" w:cs="Arial"/>
          <w:lang w:val="es-CO"/>
        </w:rPr>
        <w:t>r</w:t>
      </w:r>
      <w:r w:rsidR="00FD6349">
        <w:rPr>
          <w:rFonts w:ascii="Arial" w:hAnsi="Arial" w:cs="Arial"/>
          <w:lang w:val="es-CO"/>
        </w:rPr>
        <w:t>esalta</w:t>
      </w:r>
      <w:r>
        <w:rPr>
          <w:rFonts w:ascii="Arial" w:hAnsi="Arial" w:cs="Arial"/>
          <w:lang w:val="es-CO"/>
        </w:rPr>
        <w:t xml:space="preserve"> lo siguiente</w:t>
      </w:r>
      <w:r w:rsidR="001B7F59">
        <w:rPr>
          <w:rFonts w:ascii="Arial" w:hAnsi="Arial" w:cs="Arial"/>
          <w:lang w:val="es-CO"/>
        </w:rPr>
        <w:t>:</w:t>
      </w:r>
    </w:p>
    <w:p w:rsidR="002B4C92" w:rsidRDefault="002B4C92" w:rsidP="002B4C92">
      <w:pPr>
        <w:tabs>
          <w:tab w:val="left" w:pos="540"/>
        </w:tabs>
        <w:jc w:val="both"/>
        <w:rPr>
          <w:rFonts w:ascii="Arial" w:hAnsi="Arial" w:cs="Arial"/>
          <w:lang w:val="es-CO"/>
        </w:rPr>
      </w:pPr>
    </w:p>
    <w:p w:rsidR="000D046E" w:rsidRDefault="00140039" w:rsidP="005568BC">
      <w:pPr>
        <w:pStyle w:val="Prrafodelista"/>
        <w:numPr>
          <w:ilvl w:val="0"/>
          <w:numId w:val="3"/>
        </w:numPr>
        <w:tabs>
          <w:tab w:val="left" w:pos="540"/>
        </w:tabs>
        <w:jc w:val="both"/>
        <w:rPr>
          <w:rFonts w:ascii="Arial" w:hAnsi="Arial" w:cs="Arial"/>
          <w:lang w:val="es-CO"/>
        </w:rPr>
      </w:pPr>
      <w:r w:rsidRPr="000D046E">
        <w:rPr>
          <w:rFonts w:ascii="Arial" w:hAnsi="Arial" w:cs="Arial"/>
          <w:lang w:val="es-CO"/>
        </w:rPr>
        <w:t xml:space="preserve">Se crea la figura de autoliquidación que debe presentarse </w:t>
      </w:r>
      <w:r w:rsidRPr="000D046E">
        <w:rPr>
          <w:rFonts w:ascii="Arial" w:hAnsi="Arial" w:cs="Arial"/>
        </w:rPr>
        <w:t>dentro de los primeros veinte (20) días calendario de año</w:t>
      </w:r>
      <w:r w:rsidR="001B7F59">
        <w:rPr>
          <w:rFonts w:ascii="Arial" w:hAnsi="Arial" w:cs="Arial"/>
        </w:rPr>
        <w:t xml:space="preserve"> fiscal </w:t>
      </w:r>
      <w:r w:rsidRPr="000D046E">
        <w:rPr>
          <w:rFonts w:ascii="Arial" w:hAnsi="Arial" w:cs="Arial"/>
        </w:rPr>
        <w:t xml:space="preserve">en el cual se efectuará el pago </w:t>
      </w:r>
      <w:r w:rsidRPr="000D046E">
        <w:rPr>
          <w:rFonts w:ascii="Arial" w:hAnsi="Arial" w:cs="Arial"/>
          <w:lang w:val="es-CO"/>
        </w:rPr>
        <w:t>y liquidación definitiva.</w:t>
      </w:r>
    </w:p>
    <w:p w:rsidR="000D046E" w:rsidRDefault="000D046E" w:rsidP="000D046E">
      <w:pPr>
        <w:pStyle w:val="Prrafodelista"/>
        <w:tabs>
          <w:tab w:val="left" w:pos="540"/>
        </w:tabs>
        <w:jc w:val="both"/>
        <w:rPr>
          <w:rFonts w:ascii="Arial" w:hAnsi="Arial" w:cs="Arial"/>
          <w:lang w:val="es-CO"/>
        </w:rPr>
      </w:pPr>
    </w:p>
    <w:p w:rsidR="00140039" w:rsidRPr="000D046E" w:rsidRDefault="00140039" w:rsidP="005568BC">
      <w:pPr>
        <w:pStyle w:val="Prrafodelista"/>
        <w:numPr>
          <w:ilvl w:val="0"/>
          <w:numId w:val="3"/>
        </w:numPr>
        <w:tabs>
          <w:tab w:val="left" w:pos="540"/>
        </w:tabs>
        <w:jc w:val="both"/>
        <w:rPr>
          <w:rFonts w:ascii="Arial" w:hAnsi="Arial" w:cs="Arial"/>
          <w:lang w:val="es-CO"/>
        </w:rPr>
      </w:pPr>
      <w:r w:rsidRPr="000D046E">
        <w:rPr>
          <w:rFonts w:ascii="Arial" w:hAnsi="Arial" w:cs="Arial"/>
        </w:rPr>
        <w:t xml:space="preserve">El pago de la contribución especial se efectuará en dos </w:t>
      </w:r>
      <w:r w:rsidR="001B7F59">
        <w:rPr>
          <w:rFonts w:ascii="Arial" w:hAnsi="Arial" w:cs="Arial"/>
        </w:rPr>
        <w:t xml:space="preserve">(2) </w:t>
      </w:r>
      <w:r w:rsidRPr="000D046E">
        <w:rPr>
          <w:rFonts w:ascii="Arial" w:hAnsi="Arial" w:cs="Arial"/>
        </w:rPr>
        <w:t>cuotas semestrales, cada una equivalente al 50% del valor de la misma</w:t>
      </w:r>
      <w:r w:rsidR="001B7F59">
        <w:rPr>
          <w:rFonts w:ascii="Arial" w:hAnsi="Arial" w:cs="Arial"/>
        </w:rPr>
        <w:t xml:space="preserve"> dentro de</w:t>
      </w:r>
      <w:r w:rsidRPr="000D046E">
        <w:rPr>
          <w:rFonts w:ascii="Arial" w:hAnsi="Arial" w:cs="Arial"/>
        </w:rPr>
        <w:t xml:space="preserve"> los primeros diez (10) días de los meses de febrero y julio de cada año.</w:t>
      </w:r>
    </w:p>
    <w:p w:rsidR="002B4C92" w:rsidRDefault="002B4C92" w:rsidP="002B4C92">
      <w:pPr>
        <w:ind w:left="630"/>
        <w:jc w:val="both"/>
        <w:rPr>
          <w:rFonts w:ascii="Arial" w:hAnsi="Arial" w:cs="Arial"/>
          <w:i/>
          <w:sz w:val="20"/>
          <w:szCs w:val="20"/>
          <w:lang w:val="es-CO"/>
        </w:rPr>
      </w:pPr>
    </w:p>
    <w:p w:rsidR="009F0E00" w:rsidRPr="00974D36" w:rsidRDefault="009F0E00" w:rsidP="00974D36">
      <w:pPr>
        <w:pStyle w:val="Ttulo1"/>
        <w:jc w:val="center"/>
      </w:pPr>
    </w:p>
    <w:p w:rsidR="009F0E00" w:rsidRPr="00974D36" w:rsidRDefault="00974D36" w:rsidP="00974D36">
      <w:pPr>
        <w:pStyle w:val="Ttulo1"/>
        <w:jc w:val="center"/>
      </w:pPr>
      <w:bookmarkStart w:id="4" w:name="_Toc500770292"/>
      <w:r>
        <w:t xml:space="preserve">3. </w:t>
      </w:r>
      <w:r w:rsidRPr="00974D36">
        <w:t xml:space="preserve">PROCEDIMIENTO DE COBRO </w:t>
      </w:r>
      <w:r w:rsidR="009F0E00">
        <w:t>COMISIÓN DE REGULACIÓN DE AGUA POTABLE Y SANEAMIENTO BÁSICO -CRA-</w:t>
      </w:r>
      <w:bookmarkEnd w:id="4"/>
    </w:p>
    <w:p w:rsidR="009F0E00" w:rsidRDefault="009F0E00" w:rsidP="009F0E00">
      <w:pPr>
        <w:jc w:val="both"/>
        <w:rPr>
          <w:rFonts w:ascii="Arial" w:hAnsi="Arial" w:cs="Arial"/>
          <w:lang w:val="es-CO"/>
        </w:rPr>
      </w:pPr>
    </w:p>
    <w:p w:rsidR="00620696" w:rsidRPr="00620696" w:rsidRDefault="00620696" w:rsidP="009F0E00">
      <w:pPr>
        <w:jc w:val="both"/>
        <w:rPr>
          <w:rFonts w:ascii="Arial" w:hAnsi="Arial" w:cs="Arial"/>
          <w:lang w:val="es-CO"/>
        </w:rPr>
      </w:pPr>
      <w:r>
        <w:rPr>
          <w:rFonts w:ascii="Arial" w:hAnsi="Arial" w:cs="Arial"/>
          <w:lang w:val="es-CO"/>
        </w:rPr>
        <w:t xml:space="preserve">Como se señaló anteriormente, la CRA tiene regulado la contribución </w:t>
      </w:r>
      <w:r w:rsidR="00530687">
        <w:rPr>
          <w:rFonts w:ascii="Arial" w:hAnsi="Arial" w:cs="Arial"/>
          <w:lang w:val="es-CO"/>
        </w:rPr>
        <w:t>especial en el Decreto 707 de 1995.  La entidad tiene la siguiente metodología para el cálculo y cobro:</w:t>
      </w:r>
    </w:p>
    <w:p w:rsidR="008F6CD6" w:rsidRDefault="008F6CD6" w:rsidP="008F6CD6">
      <w:pPr>
        <w:jc w:val="both"/>
        <w:rPr>
          <w:rFonts w:ascii="Arial" w:hAnsi="Arial" w:cs="Arial"/>
          <w:lang w:val="es-CO"/>
        </w:rPr>
      </w:pPr>
    </w:p>
    <w:p w:rsidR="00E94D51" w:rsidRPr="008F6CD6" w:rsidRDefault="005568BC" w:rsidP="005568BC">
      <w:pPr>
        <w:pStyle w:val="Prrafodelista"/>
        <w:numPr>
          <w:ilvl w:val="0"/>
          <w:numId w:val="6"/>
        </w:numPr>
        <w:jc w:val="both"/>
        <w:rPr>
          <w:rFonts w:ascii="Arial" w:hAnsi="Arial" w:cs="Arial"/>
          <w:lang w:val="es-CO"/>
        </w:rPr>
      </w:pPr>
      <w:r w:rsidRPr="008F6CD6">
        <w:rPr>
          <w:rFonts w:ascii="Arial" w:hAnsi="Arial" w:cs="Arial"/>
          <w:lang w:val="es-CO"/>
        </w:rPr>
        <w:t>E</w:t>
      </w:r>
      <w:r w:rsidRPr="008F6CD6">
        <w:rPr>
          <w:rFonts w:ascii="Arial" w:hAnsi="Arial" w:cs="Arial"/>
          <w:lang w:val="es-ES"/>
        </w:rPr>
        <w:t>n diciembre del año inmediatamente anterior</w:t>
      </w:r>
      <w:r w:rsidR="00E37E20">
        <w:rPr>
          <w:rFonts w:ascii="Arial" w:hAnsi="Arial" w:cs="Arial"/>
          <w:lang w:val="es-ES"/>
        </w:rPr>
        <w:t>,</w:t>
      </w:r>
      <w:r w:rsidRPr="008F6CD6">
        <w:rPr>
          <w:rFonts w:ascii="Arial" w:hAnsi="Arial" w:cs="Arial"/>
          <w:lang w:val="es-ES"/>
        </w:rPr>
        <w:t xml:space="preserve"> al año fiscal que se va a cobrar la contribución, la CRA aprueba la resolución </w:t>
      </w:r>
      <w:r w:rsidR="00E12B14">
        <w:rPr>
          <w:rFonts w:ascii="Arial" w:hAnsi="Arial" w:cs="Arial"/>
          <w:lang w:val="es-ES"/>
        </w:rPr>
        <w:t xml:space="preserve">en la cual se </w:t>
      </w:r>
      <w:r w:rsidRPr="008F6CD6">
        <w:rPr>
          <w:rFonts w:ascii="Arial" w:hAnsi="Arial" w:cs="Arial"/>
          <w:lang w:val="es-ES"/>
        </w:rPr>
        <w:t>establece lo siguiente:</w:t>
      </w:r>
    </w:p>
    <w:p w:rsidR="008F6CD6" w:rsidRPr="008F6CD6" w:rsidRDefault="008F6CD6" w:rsidP="00600507">
      <w:pPr>
        <w:pStyle w:val="Prrafodelista"/>
        <w:jc w:val="both"/>
        <w:rPr>
          <w:rFonts w:ascii="Arial" w:hAnsi="Arial" w:cs="Arial"/>
          <w:lang w:val="es-CO"/>
        </w:rPr>
      </w:pPr>
    </w:p>
    <w:p w:rsidR="00E94D51" w:rsidRPr="008F6CD6" w:rsidRDefault="005568BC" w:rsidP="005568BC">
      <w:pPr>
        <w:numPr>
          <w:ilvl w:val="1"/>
          <w:numId w:val="6"/>
        </w:numPr>
        <w:jc w:val="both"/>
        <w:rPr>
          <w:rFonts w:ascii="Arial" w:hAnsi="Arial" w:cs="Arial"/>
          <w:lang w:val="es-CO"/>
        </w:rPr>
      </w:pPr>
      <w:r w:rsidRPr="008F6CD6">
        <w:rPr>
          <w:rFonts w:ascii="Arial" w:hAnsi="Arial" w:cs="Arial"/>
          <w:lang w:val="es-ES"/>
        </w:rPr>
        <w:t xml:space="preserve">Se determina el porcentaje de contribución aplicable que resulta de dividir el presupuesto de la Comisión del periodo fiscal respectivo, entre el valor de la sumatoria de la base gravable de todas las empresas. </w:t>
      </w:r>
    </w:p>
    <w:p w:rsidR="008F6CD6" w:rsidRPr="008F6CD6" w:rsidRDefault="008F6CD6" w:rsidP="008F6CD6">
      <w:pPr>
        <w:ind w:left="1440"/>
        <w:jc w:val="both"/>
        <w:rPr>
          <w:rFonts w:ascii="Arial" w:hAnsi="Arial" w:cs="Arial"/>
          <w:lang w:val="es-CO"/>
        </w:rPr>
      </w:pPr>
    </w:p>
    <w:p w:rsidR="00E94D51" w:rsidRPr="00600507" w:rsidRDefault="005568BC" w:rsidP="005568BC">
      <w:pPr>
        <w:numPr>
          <w:ilvl w:val="1"/>
          <w:numId w:val="6"/>
        </w:numPr>
        <w:jc w:val="both"/>
        <w:rPr>
          <w:rFonts w:ascii="Arial" w:hAnsi="Arial" w:cs="Arial"/>
          <w:lang w:val="es-CO"/>
        </w:rPr>
      </w:pPr>
      <w:r w:rsidRPr="008F6CD6">
        <w:rPr>
          <w:rFonts w:ascii="Arial" w:hAnsi="Arial" w:cs="Arial"/>
          <w:lang w:val="es-ES"/>
        </w:rPr>
        <w:lastRenderedPageBreak/>
        <w:t>La base gravable de las empresas se proyecta con los valores de los estados financieros del año anterior al de la fecha de la resolución.  Por ejemplo: la base gravable para el 2017, se calculó con los estados financieros del 2015 actualizados</w:t>
      </w:r>
      <w:r w:rsidR="00E12B14">
        <w:rPr>
          <w:rFonts w:ascii="Arial" w:hAnsi="Arial" w:cs="Arial"/>
          <w:lang w:val="es-ES"/>
        </w:rPr>
        <w:t xml:space="preserve"> al año 2016.</w:t>
      </w:r>
    </w:p>
    <w:p w:rsidR="00600507" w:rsidRDefault="00600507" w:rsidP="00600507">
      <w:pPr>
        <w:pStyle w:val="Prrafodelista"/>
        <w:rPr>
          <w:rFonts w:ascii="Arial" w:hAnsi="Arial" w:cs="Arial"/>
          <w:lang w:val="es-CO"/>
        </w:rPr>
      </w:pPr>
    </w:p>
    <w:p w:rsidR="00600507" w:rsidRPr="008F6CD6" w:rsidRDefault="00600507" w:rsidP="00600507">
      <w:pPr>
        <w:ind w:left="1440"/>
        <w:jc w:val="both"/>
        <w:rPr>
          <w:rFonts w:ascii="Arial" w:hAnsi="Arial" w:cs="Arial"/>
          <w:lang w:val="es-CO"/>
        </w:rPr>
      </w:pPr>
    </w:p>
    <w:p w:rsidR="00E94D51" w:rsidRPr="008F6CD6" w:rsidRDefault="005568BC" w:rsidP="005568BC">
      <w:pPr>
        <w:numPr>
          <w:ilvl w:val="1"/>
          <w:numId w:val="6"/>
        </w:numPr>
        <w:jc w:val="both"/>
        <w:rPr>
          <w:rFonts w:ascii="Arial" w:hAnsi="Arial" w:cs="Arial"/>
          <w:lang w:val="es-CO"/>
        </w:rPr>
      </w:pPr>
      <w:r w:rsidRPr="008F6CD6">
        <w:rPr>
          <w:rFonts w:ascii="Arial" w:hAnsi="Arial" w:cs="Arial"/>
          <w:lang w:val="es-ES"/>
        </w:rPr>
        <w:t xml:space="preserve">Las cuentas contables que se van a utilizar para realizar el </w:t>
      </w:r>
      <w:r w:rsidR="00600507" w:rsidRPr="008F6CD6">
        <w:rPr>
          <w:rFonts w:ascii="Arial" w:hAnsi="Arial" w:cs="Arial"/>
          <w:lang w:val="es-ES"/>
        </w:rPr>
        <w:t>cálculo</w:t>
      </w:r>
      <w:r w:rsidRPr="008F6CD6">
        <w:rPr>
          <w:rFonts w:ascii="Arial" w:hAnsi="Arial" w:cs="Arial"/>
          <w:lang w:val="es-ES"/>
        </w:rPr>
        <w:t xml:space="preserve"> de la contribución.</w:t>
      </w:r>
    </w:p>
    <w:p w:rsidR="008F6CD6" w:rsidRPr="008F6CD6" w:rsidRDefault="008F6CD6" w:rsidP="008F6CD6">
      <w:pPr>
        <w:ind w:left="1440"/>
        <w:jc w:val="both"/>
        <w:rPr>
          <w:rFonts w:ascii="Arial" w:hAnsi="Arial" w:cs="Arial"/>
          <w:lang w:val="es-CO"/>
        </w:rPr>
      </w:pPr>
    </w:p>
    <w:p w:rsidR="008F6CD6" w:rsidRPr="008F6CD6" w:rsidRDefault="005568BC" w:rsidP="005568BC">
      <w:pPr>
        <w:numPr>
          <w:ilvl w:val="1"/>
          <w:numId w:val="6"/>
        </w:numPr>
        <w:jc w:val="both"/>
        <w:rPr>
          <w:rFonts w:ascii="Arial" w:hAnsi="Arial" w:cs="Arial"/>
          <w:lang w:val="es-CO"/>
        </w:rPr>
      </w:pPr>
      <w:r w:rsidRPr="008F6CD6">
        <w:rPr>
          <w:rFonts w:ascii="Arial" w:hAnsi="Arial" w:cs="Arial"/>
          <w:lang w:val="es-ES"/>
        </w:rPr>
        <w:t>La primera cuota, que corresponde al valor resultante del factor, las cuentas establecidas y los datos de estados financieros del año inmediatamente anterior al</w:t>
      </w:r>
      <w:r w:rsidR="008F6CD6">
        <w:rPr>
          <w:rFonts w:ascii="Arial" w:hAnsi="Arial" w:cs="Arial"/>
          <w:lang w:val="es-ES"/>
        </w:rPr>
        <w:t xml:space="preserve"> de</w:t>
      </w:r>
      <w:r w:rsidRPr="008F6CD6">
        <w:rPr>
          <w:rFonts w:ascii="Arial" w:hAnsi="Arial" w:cs="Arial"/>
          <w:lang w:val="es-ES"/>
        </w:rPr>
        <w:t xml:space="preserve"> la resolución</w:t>
      </w:r>
      <w:r w:rsidR="00EB6F20">
        <w:rPr>
          <w:rFonts w:ascii="Arial" w:hAnsi="Arial" w:cs="Arial"/>
          <w:lang w:val="es-ES"/>
        </w:rPr>
        <w:t xml:space="preserve"> definitiva aprobada por la Comisión</w:t>
      </w:r>
      <w:r w:rsidR="008F6CD6">
        <w:rPr>
          <w:rFonts w:ascii="Arial" w:hAnsi="Arial" w:cs="Arial"/>
          <w:lang w:val="es-ES"/>
        </w:rPr>
        <w:t>.</w:t>
      </w:r>
    </w:p>
    <w:p w:rsidR="008F6CD6" w:rsidRPr="008F6CD6" w:rsidRDefault="008F6CD6" w:rsidP="008F6CD6">
      <w:pPr>
        <w:jc w:val="both"/>
        <w:rPr>
          <w:rFonts w:ascii="Arial" w:hAnsi="Arial" w:cs="Arial"/>
          <w:lang w:val="es-CO"/>
        </w:rPr>
      </w:pPr>
    </w:p>
    <w:p w:rsidR="00E94D51" w:rsidRPr="008F6CD6" w:rsidRDefault="005568BC" w:rsidP="005568BC">
      <w:pPr>
        <w:numPr>
          <w:ilvl w:val="1"/>
          <w:numId w:val="6"/>
        </w:numPr>
        <w:jc w:val="both"/>
        <w:rPr>
          <w:rFonts w:ascii="Arial" w:hAnsi="Arial" w:cs="Arial"/>
          <w:lang w:val="es-CO"/>
        </w:rPr>
      </w:pPr>
      <w:r w:rsidRPr="008F6CD6">
        <w:rPr>
          <w:rFonts w:ascii="Arial" w:hAnsi="Arial" w:cs="Arial"/>
          <w:lang w:val="es-ES"/>
        </w:rPr>
        <w:t>En cuanto a utilización del parágrafo 2º del</w:t>
      </w:r>
      <w:r w:rsidR="008F6CD6">
        <w:rPr>
          <w:rFonts w:ascii="Arial" w:hAnsi="Arial" w:cs="Arial"/>
          <w:lang w:val="es-ES"/>
        </w:rPr>
        <w:t xml:space="preserve"> </w:t>
      </w:r>
      <w:r w:rsidRPr="008F6CD6">
        <w:rPr>
          <w:rFonts w:ascii="Arial" w:hAnsi="Arial" w:cs="Arial"/>
          <w:lang w:val="es-ES"/>
        </w:rPr>
        <w:t>artículo 85 de la Ley 142 de 1994, se han utilizado dos procedimientos</w:t>
      </w:r>
      <w:r w:rsidR="008F6CD6">
        <w:rPr>
          <w:rFonts w:ascii="Arial" w:hAnsi="Arial" w:cs="Arial"/>
          <w:lang w:val="es-ES"/>
        </w:rPr>
        <w:t>;</w:t>
      </w:r>
    </w:p>
    <w:p w:rsidR="008F6CD6" w:rsidRPr="008F6CD6" w:rsidRDefault="008F6CD6" w:rsidP="008F6CD6">
      <w:pPr>
        <w:ind w:left="1440"/>
        <w:jc w:val="both"/>
        <w:rPr>
          <w:rFonts w:ascii="Arial" w:hAnsi="Arial" w:cs="Arial"/>
          <w:lang w:val="es-CO"/>
        </w:rPr>
      </w:pPr>
    </w:p>
    <w:p w:rsidR="008F6CD6" w:rsidRDefault="005568BC" w:rsidP="005568BC">
      <w:pPr>
        <w:numPr>
          <w:ilvl w:val="2"/>
          <w:numId w:val="6"/>
        </w:numPr>
        <w:jc w:val="both"/>
        <w:rPr>
          <w:rFonts w:ascii="Arial" w:hAnsi="Arial" w:cs="Arial"/>
          <w:lang w:val="es-CO"/>
        </w:rPr>
      </w:pPr>
      <w:r w:rsidRPr="008F6CD6">
        <w:rPr>
          <w:rFonts w:ascii="Arial" w:hAnsi="Arial" w:cs="Arial"/>
          <w:lang w:val="es-ES"/>
        </w:rPr>
        <w:t>Para la vigencia del 2015, la misma Comisión lo estableció en diciembre de 2014.</w:t>
      </w:r>
    </w:p>
    <w:p w:rsidR="008F6CD6" w:rsidRDefault="008F6CD6" w:rsidP="008F6CD6">
      <w:pPr>
        <w:ind w:left="2160"/>
        <w:jc w:val="both"/>
        <w:rPr>
          <w:rFonts w:ascii="Arial" w:hAnsi="Arial" w:cs="Arial"/>
          <w:lang w:val="es-CO"/>
        </w:rPr>
      </w:pPr>
    </w:p>
    <w:p w:rsidR="008F6CD6" w:rsidRDefault="005568BC" w:rsidP="005568BC">
      <w:pPr>
        <w:numPr>
          <w:ilvl w:val="2"/>
          <w:numId w:val="6"/>
        </w:numPr>
        <w:jc w:val="both"/>
        <w:rPr>
          <w:rFonts w:ascii="Arial" w:hAnsi="Arial" w:cs="Arial"/>
          <w:lang w:val="es-CO"/>
        </w:rPr>
      </w:pPr>
      <w:r w:rsidRPr="008F6CD6">
        <w:rPr>
          <w:rFonts w:ascii="Arial" w:hAnsi="Arial" w:cs="Arial"/>
          <w:lang w:val="es-ES"/>
        </w:rPr>
        <w:t>Para las vigencias</w:t>
      </w:r>
      <w:r w:rsidR="00E37E20">
        <w:rPr>
          <w:rFonts w:ascii="Arial" w:hAnsi="Arial" w:cs="Arial"/>
          <w:lang w:val="es-ES"/>
        </w:rPr>
        <w:t xml:space="preserve"> 2016 y 2017, la Comisión le dió</w:t>
      </w:r>
      <w:r w:rsidRPr="008F6CD6">
        <w:rPr>
          <w:rFonts w:ascii="Arial" w:hAnsi="Arial" w:cs="Arial"/>
          <w:lang w:val="es-ES"/>
        </w:rPr>
        <w:t xml:space="preserve"> la competencia al Director Ejecutivo para que lo aplicará, siempre y cuando existiera el faltante presupuestal.</w:t>
      </w:r>
    </w:p>
    <w:p w:rsidR="008F6CD6" w:rsidRDefault="008F6CD6" w:rsidP="008F6CD6">
      <w:pPr>
        <w:pStyle w:val="Prrafodelista"/>
        <w:rPr>
          <w:rFonts w:ascii="Arial" w:hAnsi="Arial" w:cs="Arial"/>
          <w:lang w:val="es-ES"/>
        </w:rPr>
      </w:pPr>
    </w:p>
    <w:p w:rsidR="008F6CD6" w:rsidRDefault="005568BC" w:rsidP="005568BC">
      <w:pPr>
        <w:numPr>
          <w:ilvl w:val="2"/>
          <w:numId w:val="6"/>
        </w:numPr>
        <w:jc w:val="both"/>
        <w:rPr>
          <w:rFonts w:ascii="Arial" w:hAnsi="Arial" w:cs="Arial"/>
          <w:lang w:val="es-CO"/>
        </w:rPr>
      </w:pPr>
      <w:r w:rsidRPr="008F6CD6">
        <w:rPr>
          <w:rFonts w:ascii="Arial" w:hAnsi="Arial" w:cs="Arial"/>
          <w:lang w:val="es-ES"/>
        </w:rPr>
        <w:t>En la vigencia 2016 no se utilizó el mecanismo.</w:t>
      </w:r>
    </w:p>
    <w:p w:rsidR="008F6CD6" w:rsidRDefault="008F6CD6" w:rsidP="008F6CD6">
      <w:pPr>
        <w:pStyle w:val="Prrafodelista"/>
        <w:rPr>
          <w:rFonts w:ascii="Arial" w:hAnsi="Arial" w:cs="Arial"/>
          <w:lang w:val="es-ES"/>
        </w:rPr>
      </w:pPr>
    </w:p>
    <w:p w:rsidR="00E94D51" w:rsidRPr="008F6CD6" w:rsidRDefault="005568BC" w:rsidP="005568BC">
      <w:pPr>
        <w:numPr>
          <w:ilvl w:val="2"/>
          <w:numId w:val="6"/>
        </w:numPr>
        <w:jc w:val="both"/>
        <w:rPr>
          <w:rFonts w:ascii="Arial" w:hAnsi="Arial" w:cs="Arial"/>
          <w:lang w:val="es-CO"/>
        </w:rPr>
      </w:pPr>
      <w:r w:rsidRPr="008F6CD6">
        <w:rPr>
          <w:rFonts w:ascii="Arial" w:hAnsi="Arial" w:cs="Arial"/>
          <w:lang w:val="es-ES"/>
        </w:rPr>
        <w:t xml:space="preserve">En la vigencia 2017, cuando la Unidad Administrativa de la CRA tuvo a su disposición la información financiera de los prestadores y demostró que se presentaba faltante presupuestal, el Director Ejecutivo </w:t>
      </w:r>
      <w:r w:rsidR="00EB6F20">
        <w:rPr>
          <w:rFonts w:ascii="Arial" w:hAnsi="Arial" w:cs="Arial"/>
          <w:lang w:val="es-ES"/>
        </w:rPr>
        <w:t>expide la</w:t>
      </w:r>
      <w:r w:rsidRPr="008F6CD6">
        <w:rPr>
          <w:rFonts w:ascii="Arial" w:hAnsi="Arial" w:cs="Arial"/>
          <w:lang w:val="es-ES"/>
        </w:rPr>
        <w:t xml:space="preserve"> Resolución UAE-CRA-237 del 12 de junio, la </w:t>
      </w:r>
      <w:r w:rsidR="00E37E20">
        <w:rPr>
          <w:rFonts w:ascii="Arial" w:hAnsi="Arial" w:cs="Arial"/>
          <w:lang w:val="es-ES"/>
        </w:rPr>
        <w:t>cual adicionó las cuentas señaladas en el parágrafo.</w:t>
      </w:r>
    </w:p>
    <w:p w:rsidR="00F55574" w:rsidRDefault="00F55574" w:rsidP="008F6CD6">
      <w:pPr>
        <w:jc w:val="both"/>
        <w:rPr>
          <w:rFonts w:ascii="Arial" w:hAnsi="Arial" w:cs="Arial"/>
          <w:lang w:val="es-CO"/>
        </w:rPr>
      </w:pPr>
    </w:p>
    <w:p w:rsidR="00F55574" w:rsidRDefault="00F55574" w:rsidP="00F55574">
      <w:pPr>
        <w:ind w:left="630"/>
        <w:jc w:val="both"/>
        <w:rPr>
          <w:rFonts w:ascii="Arial" w:hAnsi="Arial" w:cs="Arial"/>
          <w:i/>
          <w:sz w:val="20"/>
          <w:szCs w:val="20"/>
          <w:lang w:val="es-CO"/>
        </w:rPr>
      </w:pPr>
    </w:p>
    <w:p w:rsidR="00F55574" w:rsidRPr="00E23928" w:rsidRDefault="00F55574" w:rsidP="00F55574">
      <w:pPr>
        <w:pStyle w:val="Ttulo1"/>
        <w:jc w:val="center"/>
      </w:pPr>
      <w:bookmarkStart w:id="5" w:name="_Toc500770293"/>
      <w:r>
        <w:t>4</w:t>
      </w:r>
      <w:r w:rsidRPr="00E23928">
        <w:t xml:space="preserve">. </w:t>
      </w:r>
      <w:r>
        <w:t>DEFICIENCIA DE LA METODOLOGIA UTILIZADA POR LA CRA</w:t>
      </w:r>
      <w:bookmarkEnd w:id="5"/>
    </w:p>
    <w:p w:rsidR="006B3D4E" w:rsidRDefault="00D25615" w:rsidP="00F55574">
      <w:pPr>
        <w:jc w:val="both"/>
        <w:rPr>
          <w:rFonts w:ascii="Arial" w:hAnsi="Arial" w:cs="Arial"/>
          <w:lang w:val="es-CO"/>
        </w:rPr>
      </w:pPr>
      <w:r>
        <w:rPr>
          <w:rFonts w:ascii="Arial" w:hAnsi="Arial" w:cs="Arial"/>
          <w:lang w:val="es-CO"/>
        </w:rPr>
        <w:t xml:space="preserve">La metodología de la CRA </w:t>
      </w:r>
      <w:r w:rsidR="006B3D4E">
        <w:rPr>
          <w:rFonts w:ascii="Arial" w:hAnsi="Arial" w:cs="Arial"/>
          <w:lang w:val="es-CO"/>
        </w:rPr>
        <w:t>aplicada para calcular</w:t>
      </w:r>
      <w:r w:rsidR="00EB6F20">
        <w:rPr>
          <w:rFonts w:ascii="Arial" w:hAnsi="Arial" w:cs="Arial"/>
          <w:lang w:val="es-CO"/>
        </w:rPr>
        <w:t xml:space="preserve"> la contribución especial, está</w:t>
      </w:r>
      <w:r w:rsidR="006B3D4E">
        <w:rPr>
          <w:rFonts w:ascii="Arial" w:hAnsi="Arial" w:cs="Arial"/>
          <w:lang w:val="es-CO"/>
        </w:rPr>
        <w:t xml:space="preserve"> acorde con las normas establecidas para</w:t>
      </w:r>
      <w:r w:rsidR="00EB6F20">
        <w:rPr>
          <w:rFonts w:ascii="Arial" w:hAnsi="Arial" w:cs="Arial"/>
          <w:lang w:val="es-CO"/>
        </w:rPr>
        <w:t xml:space="preserve"> tal fin, no obstante, presenta</w:t>
      </w:r>
      <w:r w:rsidR="006B3D4E">
        <w:rPr>
          <w:rFonts w:ascii="Arial" w:hAnsi="Arial" w:cs="Arial"/>
          <w:lang w:val="es-CO"/>
        </w:rPr>
        <w:t xml:space="preserve"> algunas deficiencias, que a continuación se detallan:</w:t>
      </w:r>
    </w:p>
    <w:p w:rsidR="00F55574" w:rsidRPr="00F55574" w:rsidRDefault="006B3D4E" w:rsidP="00F55574">
      <w:pPr>
        <w:jc w:val="both"/>
        <w:rPr>
          <w:rFonts w:ascii="Arial" w:hAnsi="Arial" w:cs="Arial"/>
          <w:lang w:val="es-CO"/>
        </w:rPr>
      </w:pPr>
      <w:r>
        <w:rPr>
          <w:rFonts w:ascii="Arial" w:hAnsi="Arial" w:cs="Arial"/>
          <w:lang w:val="es-CO"/>
        </w:rPr>
        <w:t xml:space="preserve"> </w:t>
      </w:r>
    </w:p>
    <w:p w:rsidR="00082834" w:rsidRDefault="006B3D4E" w:rsidP="005568BC">
      <w:pPr>
        <w:pStyle w:val="Prrafodelista"/>
        <w:numPr>
          <w:ilvl w:val="0"/>
          <w:numId w:val="7"/>
        </w:numPr>
        <w:jc w:val="both"/>
        <w:rPr>
          <w:rFonts w:ascii="Arial" w:hAnsi="Arial" w:cs="Arial"/>
          <w:lang w:val="es-CO"/>
        </w:rPr>
      </w:pPr>
      <w:r w:rsidRPr="00082834">
        <w:rPr>
          <w:rFonts w:ascii="Arial" w:hAnsi="Arial" w:cs="Arial"/>
          <w:b/>
          <w:lang w:val="es-CO"/>
        </w:rPr>
        <w:t>Existe incertidumbre para los prestadores:</w:t>
      </w:r>
      <w:r w:rsidRPr="00082834">
        <w:rPr>
          <w:rFonts w:ascii="Arial" w:hAnsi="Arial" w:cs="Arial"/>
          <w:lang w:val="es-CO"/>
        </w:rPr>
        <w:t xml:space="preserve"> Teniendo en cuenta que los prestadores para una misma vigencia fiscal podrían tener dos resoluciones definitivas</w:t>
      </w:r>
      <w:r w:rsidR="00082834" w:rsidRPr="00082834">
        <w:rPr>
          <w:rFonts w:ascii="Arial" w:hAnsi="Arial" w:cs="Arial"/>
          <w:lang w:val="es-CO"/>
        </w:rPr>
        <w:t xml:space="preserve"> del cálculo de la contribución</w:t>
      </w:r>
      <w:r w:rsidRPr="00082834">
        <w:rPr>
          <w:rFonts w:ascii="Arial" w:hAnsi="Arial" w:cs="Arial"/>
          <w:lang w:val="es-CO"/>
        </w:rPr>
        <w:t xml:space="preserve">, la primera que </w:t>
      </w:r>
      <w:r w:rsidR="00EB6F20">
        <w:rPr>
          <w:rFonts w:ascii="Arial" w:hAnsi="Arial" w:cs="Arial"/>
          <w:lang w:val="es-CO"/>
        </w:rPr>
        <w:t xml:space="preserve">expide </w:t>
      </w:r>
      <w:r w:rsidRPr="00082834">
        <w:rPr>
          <w:rFonts w:ascii="Arial" w:hAnsi="Arial" w:cs="Arial"/>
          <w:lang w:val="es-CO"/>
        </w:rPr>
        <w:t xml:space="preserve">la Comisión y la segunda cuando el </w:t>
      </w:r>
      <w:r w:rsidR="00082834">
        <w:rPr>
          <w:rFonts w:ascii="Arial" w:hAnsi="Arial" w:cs="Arial"/>
          <w:lang w:val="es-CO"/>
        </w:rPr>
        <w:t>D</w:t>
      </w:r>
      <w:r w:rsidR="00082834" w:rsidRPr="00082834">
        <w:rPr>
          <w:rFonts w:ascii="Arial" w:hAnsi="Arial" w:cs="Arial"/>
          <w:lang w:val="es-CO"/>
        </w:rPr>
        <w:t>irector</w:t>
      </w:r>
      <w:r w:rsidR="00082834">
        <w:rPr>
          <w:rFonts w:ascii="Arial" w:hAnsi="Arial" w:cs="Arial"/>
          <w:lang w:val="es-CO"/>
        </w:rPr>
        <w:t xml:space="preserve"> Ejecutivo</w:t>
      </w:r>
      <w:r w:rsidRPr="00082834">
        <w:rPr>
          <w:rFonts w:ascii="Arial" w:hAnsi="Arial" w:cs="Arial"/>
          <w:lang w:val="es-CO"/>
        </w:rPr>
        <w:t xml:space="preserve"> </w:t>
      </w:r>
      <w:r w:rsidRPr="00082834">
        <w:rPr>
          <w:rFonts w:ascii="Arial" w:hAnsi="Arial" w:cs="Arial"/>
          <w:lang w:val="es-CO"/>
        </w:rPr>
        <w:lastRenderedPageBreak/>
        <w:t xml:space="preserve">se acoge al </w:t>
      </w:r>
      <w:r w:rsidR="00E37E20" w:rsidRPr="00082834">
        <w:rPr>
          <w:rFonts w:ascii="Arial" w:hAnsi="Arial" w:cs="Arial"/>
          <w:lang w:val="es-CO"/>
        </w:rPr>
        <w:t>parágrafo</w:t>
      </w:r>
      <w:r w:rsidRPr="00082834">
        <w:rPr>
          <w:rFonts w:ascii="Arial" w:hAnsi="Arial" w:cs="Arial"/>
          <w:lang w:val="es-CO"/>
        </w:rPr>
        <w:t xml:space="preserve"> 2º del Artículo 85 de la Ley 142 de 1994</w:t>
      </w:r>
      <w:r w:rsidR="00082834" w:rsidRPr="00082834">
        <w:rPr>
          <w:rFonts w:ascii="Arial" w:hAnsi="Arial" w:cs="Arial"/>
          <w:lang w:val="es-CO"/>
        </w:rPr>
        <w:t>, podría presentarse falta de claridad sobre que norma aplicar para tal fin.</w:t>
      </w:r>
    </w:p>
    <w:p w:rsidR="00082834" w:rsidRDefault="00082834" w:rsidP="00082834">
      <w:pPr>
        <w:jc w:val="both"/>
        <w:rPr>
          <w:rFonts w:ascii="Arial" w:hAnsi="Arial" w:cs="Arial"/>
          <w:lang w:val="es-CO"/>
        </w:rPr>
      </w:pPr>
    </w:p>
    <w:p w:rsidR="00E94D51" w:rsidRPr="00F55574" w:rsidRDefault="00062C9B" w:rsidP="005568BC">
      <w:pPr>
        <w:pStyle w:val="Prrafodelista"/>
        <w:numPr>
          <w:ilvl w:val="0"/>
          <w:numId w:val="7"/>
        </w:numPr>
        <w:jc w:val="both"/>
        <w:rPr>
          <w:rFonts w:ascii="Arial" w:hAnsi="Arial" w:cs="Arial"/>
          <w:lang w:val="es-CO"/>
        </w:rPr>
      </w:pPr>
      <w:r w:rsidRPr="00062C9B">
        <w:rPr>
          <w:rFonts w:ascii="Arial" w:hAnsi="Arial" w:cs="Arial"/>
          <w:b/>
          <w:lang w:val="es-CO"/>
        </w:rPr>
        <w:t>Proyección del cálculo de la contribución no cubre el presupuesto</w:t>
      </w:r>
      <w:r>
        <w:rPr>
          <w:rFonts w:ascii="Arial" w:hAnsi="Arial" w:cs="Arial"/>
          <w:lang w:val="es-CO"/>
        </w:rPr>
        <w:t xml:space="preserve">. </w:t>
      </w:r>
      <w:r w:rsidR="005568BC" w:rsidRPr="00F55574">
        <w:rPr>
          <w:rFonts w:ascii="Arial" w:hAnsi="Arial" w:cs="Arial"/>
          <w:lang w:val="es-CO"/>
        </w:rPr>
        <w:t xml:space="preserve">El cálculo de la contribución se está realizando con datos proyectados, lo cual puede conllevar </w:t>
      </w:r>
      <w:r>
        <w:rPr>
          <w:rFonts w:ascii="Arial" w:hAnsi="Arial" w:cs="Arial"/>
          <w:lang w:val="es-CO"/>
        </w:rPr>
        <w:t>a que dicho valor no cubra el presupuesto.  Por ejemplo, en el</w:t>
      </w:r>
      <w:r w:rsidR="00EF5B8F">
        <w:rPr>
          <w:rFonts w:ascii="Arial" w:hAnsi="Arial" w:cs="Arial"/>
          <w:lang w:val="es-CO"/>
        </w:rPr>
        <w:t xml:space="preserve"> año</w:t>
      </w:r>
      <w:r>
        <w:rPr>
          <w:rFonts w:ascii="Arial" w:hAnsi="Arial" w:cs="Arial"/>
          <w:lang w:val="es-CO"/>
        </w:rPr>
        <w:t xml:space="preserve"> 2014, la ejecución del presupuesto fue del 80%, debido </w:t>
      </w:r>
      <w:r w:rsidR="00EB6F20">
        <w:rPr>
          <w:rFonts w:ascii="Arial" w:hAnsi="Arial" w:cs="Arial"/>
          <w:lang w:val="es-CO"/>
        </w:rPr>
        <w:t xml:space="preserve">a </w:t>
      </w:r>
      <w:r>
        <w:rPr>
          <w:rFonts w:ascii="Arial" w:hAnsi="Arial" w:cs="Arial"/>
          <w:lang w:val="es-CO"/>
        </w:rPr>
        <w:t xml:space="preserve">que lo recaudado no cubrió el presupuesto de la entidad. Se puede presentar el caso contrario, en el año 2015, cuando la entidad aplicó por primera vez el parágrafo 2º del Artículo 85 de la Ley 142 de 1994, se presentó </w:t>
      </w:r>
      <w:r w:rsidR="005568BC" w:rsidRPr="00F55574">
        <w:rPr>
          <w:rFonts w:ascii="Arial" w:hAnsi="Arial" w:cs="Arial"/>
          <w:lang w:val="es-CO"/>
        </w:rPr>
        <w:t>un excedente de recaudo de $639 millones.</w:t>
      </w:r>
    </w:p>
    <w:bookmarkEnd w:id="2"/>
    <w:p w:rsidR="00F55574" w:rsidRDefault="00F55574" w:rsidP="008F6CD6">
      <w:pPr>
        <w:jc w:val="both"/>
        <w:rPr>
          <w:rFonts w:ascii="Arial" w:hAnsi="Arial" w:cs="Arial"/>
          <w:lang w:val="es-CO"/>
        </w:rPr>
      </w:pPr>
    </w:p>
    <w:p w:rsidR="00062C9B" w:rsidRDefault="00062C9B" w:rsidP="00530380">
      <w:pPr>
        <w:pStyle w:val="Ttulo1"/>
        <w:jc w:val="center"/>
      </w:pPr>
      <w:bookmarkStart w:id="6" w:name="_Toc500770294"/>
      <w:r>
        <w:t>5</w:t>
      </w:r>
      <w:r w:rsidRPr="00E23928">
        <w:t xml:space="preserve">. </w:t>
      </w:r>
      <w:r>
        <w:t>PROPUESTA</w:t>
      </w:r>
      <w:r w:rsidR="00EF5B8F">
        <w:t xml:space="preserve"> </w:t>
      </w:r>
      <w:r w:rsidR="00974D36">
        <w:t>A LA COMISIÓN DE REGULACIÓN</w:t>
      </w:r>
      <w:bookmarkEnd w:id="6"/>
    </w:p>
    <w:p w:rsidR="00530380" w:rsidRDefault="00530380" w:rsidP="00530380">
      <w:pPr>
        <w:rPr>
          <w:lang w:val="es-CO" w:eastAsia="en-US"/>
        </w:rPr>
      </w:pPr>
    </w:p>
    <w:p w:rsidR="00530380" w:rsidRDefault="00530380" w:rsidP="00530380">
      <w:pPr>
        <w:rPr>
          <w:rFonts w:ascii="Arial" w:hAnsi="Arial" w:cs="Arial"/>
          <w:lang w:val="es-CO" w:eastAsia="en-US"/>
        </w:rPr>
      </w:pPr>
      <w:r>
        <w:rPr>
          <w:rFonts w:ascii="Arial" w:hAnsi="Arial" w:cs="Arial"/>
          <w:lang w:val="es-CO" w:eastAsia="en-US"/>
        </w:rPr>
        <w:t>Con el fin de solucionar las deficiencias que presenta la actual metodología de cálculo y cobro de la Contribución Especial que aplica la CRA, se recomienda lo siguiente:</w:t>
      </w:r>
    </w:p>
    <w:p w:rsidR="00530380" w:rsidRPr="00530380" w:rsidRDefault="00530380" w:rsidP="00530380">
      <w:pPr>
        <w:rPr>
          <w:rFonts w:ascii="Arial" w:hAnsi="Arial" w:cs="Arial"/>
          <w:lang w:val="es-CO" w:eastAsia="en-US"/>
        </w:rPr>
      </w:pPr>
    </w:p>
    <w:p w:rsidR="00530380" w:rsidRPr="00530380" w:rsidRDefault="00530380" w:rsidP="00530380">
      <w:pPr>
        <w:ind w:left="720"/>
        <w:jc w:val="both"/>
        <w:rPr>
          <w:rFonts w:ascii="Arial" w:hAnsi="Arial" w:cs="Arial"/>
          <w:lang w:val="es-CO"/>
        </w:rPr>
      </w:pPr>
    </w:p>
    <w:p w:rsidR="00E94D51" w:rsidRDefault="005568BC" w:rsidP="00EF5B8F">
      <w:pPr>
        <w:numPr>
          <w:ilvl w:val="0"/>
          <w:numId w:val="8"/>
        </w:numPr>
        <w:jc w:val="both"/>
        <w:rPr>
          <w:rFonts w:ascii="Arial" w:hAnsi="Arial" w:cs="Arial"/>
          <w:lang w:val="es-CO"/>
        </w:rPr>
      </w:pPr>
      <w:r w:rsidRPr="00530380">
        <w:rPr>
          <w:rFonts w:ascii="Arial" w:hAnsi="Arial" w:cs="Arial"/>
          <w:lang w:val="es-CO"/>
        </w:rPr>
        <w:t>Establecer el pago</w:t>
      </w:r>
      <w:r w:rsidR="00974D36">
        <w:rPr>
          <w:rFonts w:ascii="Arial" w:hAnsi="Arial" w:cs="Arial"/>
          <w:lang w:val="es-CO"/>
        </w:rPr>
        <w:t xml:space="preserve"> de la primera cuota </w:t>
      </w:r>
      <w:r w:rsidRPr="00530380">
        <w:rPr>
          <w:rFonts w:ascii="Arial" w:hAnsi="Arial" w:cs="Arial"/>
          <w:lang w:val="es-CO"/>
        </w:rPr>
        <w:t xml:space="preserve">igual al 50% del pago de la liquidación realizada </w:t>
      </w:r>
      <w:r w:rsidR="00EF5B8F" w:rsidRPr="00EF5B8F">
        <w:rPr>
          <w:rFonts w:ascii="Arial" w:hAnsi="Arial" w:cs="Arial"/>
          <w:lang w:val="es-CO"/>
        </w:rPr>
        <w:t>en el año inmediatamente anterior a la vigencia que se está cobrando</w:t>
      </w:r>
      <w:r w:rsidRPr="00530380">
        <w:rPr>
          <w:rFonts w:ascii="Arial" w:hAnsi="Arial" w:cs="Arial"/>
          <w:lang w:val="es-CO"/>
        </w:rPr>
        <w:t>.</w:t>
      </w:r>
    </w:p>
    <w:p w:rsidR="00B636BA" w:rsidRPr="00530380" w:rsidRDefault="00B636BA" w:rsidP="00B636BA">
      <w:pPr>
        <w:jc w:val="both"/>
        <w:rPr>
          <w:rFonts w:ascii="Arial" w:hAnsi="Arial" w:cs="Arial"/>
          <w:lang w:val="es-CO"/>
        </w:rPr>
      </w:pPr>
    </w:p>
    <w:p w:rsidR="00E94D51" w:rsidRPr="00530380" w:rsidRDefault="005568BC" w:rsidP="005568BC">
      <w:pPr>
        <w:numPr>
          <w:ilvl w:val="0"/>
          <w:numId w:val="8"/>
        </w:numPr>
        <w:jc w:val="both"/>
        <w:rPr>
          <w:rFonts w:ascii="Arial" w:hAnsi="Arial" w:cs="Arial"/>
          <w:lang w:val="es-CO"/>
        </w:rPr>
      </w:pPr>
      <w:r w:rsidRPr="00530380">
        <w:rPr>
          <w:rFonts w:ascii="Arial" w:hAnsi="Arial" w:cs="Arial"/>
          <w:lang w:val="es-CO"/>
        </w:rPr>
        <w:t>Cuando se conozca la información financiera de los pres</w:t>
      </w:r>
      <w:r w:rsidR="00EF5B8F">
        <w:rPr>
          <w:rFonts w:ascii="Arial" w:hAnsi="Arial" w:cs="Arial"/>
          <w:lang w:val="es-CO"/>
        </w:rPr>
        <w:t xml:space="preserve">tadores, la Comisión aprobará la tarifa </w:t>
      </w:r>
      <w:r w:rsidRPr="00530380">
        <w:rPr>
          <w:rFonts w:ascii="Arial" w:hAnsi="Arial" w:cs="Arial"/>
          <w:lang w:val="es-ES"/>
        </w:rPr>
        <w:t>y las cuentas necesarias que se deben utilizar para calcular la contribución de la vigencia.</w:t>
      </w:r>
    </w:p>
    <w:p w:rsidR="00530380" w:rsidRDefault="00530380" w:rsidP="008F6CD6">
      <w:pPr>
        <w:jc w:val="both"/>
        <w:rPr>
          <w:rFonts w:ascii="Arial" w:hAnsi="Arial" w:cs="Arial"/>
          <w:lang w:val="es-CO"/>
        </w:rPr>
      </w:pPr>
    </w:p>
    <w:p w:rsidR="00B636BA" w:rsidRDefault="00B636BA" w:rsidP="008F6CD6">
      <w:pPr>
        <w:jc w:val="both"/>
        <w:rPr>
          <w:rFonts w:ascii="Arial" w:hAnsi="Arial" w:cs="Arial"/>
          <w:lang w:val="es-CO"/>
        </w:rPr>
      </w:pPr>
      <w:r>
        <w:rPr>
          <w:rFonts w:ascii="Arial" w:hAnsi="Arial" w:cs="Arial"/>
          <w:lang w:val="es-CO"/>
        </w:rPr>
        <w:t xml:space="preserve">Con estas propuestas, los prestadores tendrían una única resolución definitiva de </w:t>
      </w:r>
      <w:r w:rsidR="00EF5B8F">
        <w:rPr>
          <w:rFonts w:ascii="Arial" w:hAnsi="Arial" w:cs="Arial"/>
          <w:lang w:val="es-CO"/>
        </w:rPr>
        <w:t>cálculo</w:t>
      </w:r>
      <w:r>
        <w:rPr>
          <w:rFonts w:ascii="Arial" w:hAnsi="Arial" w:cs="Arial"/>
          <w:lang w:val="es-CO"/>
        </w:rPr>
        <w:t xml:space="preserve"> de contribución, así se eliminaría la incertidumbre de éstos.  Adicionalmente, al realizar</w:t>
      </w:r>
      <w:r w:rsidR="00EF5B8F">
        <w:rPr>
          <w:rFonts w:ascii="Arial" w:hAnsi="Arial" w:cs="Arial"/>
          <w:lang w:val="es-CO"/>
        </w:rPr>
        <w:t xml:space="preserve"> la contribución con datos reales</w:t>
      </w:r>
      <w:r>
        <w:rPr>
          <w:rFonts w:ascii="Arial" w:hAnsi="Arial" w:cs="Arial"/>
          <w:lang w:val="es-CO"/>
        </w:rPr>
        <w:t>, se minimizaría el margen de error entre los ingresos y presupuesto de la entidad.</w:t>
      </w: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8F6CD6">
      <w:pPr>
        <w:jc w:val="both"/>
        <w:rPr>
          <w:rFonts w:ascii="Arial" w:hAnsi="Arial" w:cs="Arial"/>
          <w:lang w:val="es-CO"/>
        </w:rPr>
      </w:pPr>
    </w:p>
    <w:p w:rsidR="00B636BA" w:rsidRDefault="00B636BA" w:rsidP="00B636BA">
      <w:pPr>
        <w:jc w:val="center"/>
        <w:rPr>
          <w:rFonts w:ascii="Arial" w:hAnsi="Arial" w:cs="Arial"/>
          <w:b/>
          <w:sz w:val="52"/>
          <w:szCs w:val="52"/>
          <w:lang w:val="es-CO"/>
        </w:rPr>
      </w:pPr>
      <w:r>
        <w:rPr>
          <w:rFonts w:ascii="Arial" w:hAnsi="Arial" w:cs="Arial"/>
          <w:b/>
          <w:sz w:val="52"/>
          <w:szCs w:val="52"/>
          <w:lang w:val="es-CO"/>
        </w:rPr>
        <w:t>ANEXO</w:t>
      </w:r>
    </w:p>
    <w:p w:rsidR="00B636BA" w:rsidRDefault="00B636BA" w:rsidP="00B636BA">
      <w:pPr>
        <w:jc w:val="center"/>
        <w:rPr>
          <w:rFonts w:ascii="Arial" w:hAnsi="Arial" w:cs="Arial"/>
          <w:b/>
          <w:sz w:val="52"/>
          <w:szCs w:val="52"/>
          <w:lang w:val="es-CO"/>
        </w:rPr>
      </w:pPr>
    </w:p>
    <w:p w:rsidR="00B636BA" w:rsidRDefault="00B636BA" w:rsidP="00B636BA">
      <w:pPr>
        <w:jc w:val="center"/>
        <w:rPr>
          <w:rFonts w:ascii="Arial" w:hAnsi="Arial" w:cs="Arial"/>
          <w:b/>
          <w:sz w:val="52"/>
          <w:szCs w:val="52"/>
          <w:lang w:val="es-CO"/>
        </w:rPr>
      </w:pPr>
      <w:r>
        <w:rPr>
          <w:rFonts w:ascii="Arial" w:hAnsi="Arial" w:cs="Arial"/>
          <w:b/>
          <w:sz w:val="52"/>
          <w:szCs w:val="52"/>
          <w:lang w:val="es-CO"/>
        </w:rPr>
        <w:t>PROYECTO DE RESOLUCIÓN</w:t>
      </w:r>
    </w:p>
    <w:p w:rsidR="00530380" w:rsidRDefault="00B636BA" w:rsidP="00B636BA">
      <w:pPr>
        <w:jc w:val="center"/>
        <w:rPr>
          <w:rFonts w:ascii="Arial" w:hAnsi="Arial" w:cs="Arial"/>
          <w:lang w:val="es-CO"/>
        </w:rPr>
      </w:pPr>
      <w:r>
        <w:rPr>
          <w:rFonts w:ascii="Arial" w:hAnsi="Arial" w:cs="Arial"/>
          <w:lang w:val="es-CO"/>
        </w:rPr>
        <w:lastRenderedPageBreak/>
        <w:br/>
      </w:r>
    </w:p>
    <w:p w:rsidR="00530380" w:rsidRPr="00F52705" w:rsidRDefault="00530380" w:rsidP="008F6CD6">
      <w:pPr>
        <w:jc w:val="both"/>
        <w:rPr>
          <w:rFonts w:ascii="Arial" w:hAnsi="Arial" w:cs="Arial"/>
          <w:lang w:val="es-CO"/>
        </w:rPr>
      </w:pPr>
    </w:p>
    <w:sectPr w:rsidR="00530380" w:rsidRPr="00F52705" w:rsidSect="0022700E">
      <w:headerReference w:type="default" r:id="rId10"/>
      <w:footerReference w:type="even" r:id="rId11"/>
      <w:footerReference w:type="default" r:id="rId12"/>
      <w:pgSz w:w="12240" w:h="15840"/>
      <w:pgMar w:top="2139" w:right="1325" w:bottom="1440" w:left="1440" w:header="709" w:footer="100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74" w:rsidRDefault="00F23474" w:rsidP="00EB09CB">
      <w:r>
        <w:separator/>
      </w:r>
    </w:p>
  </w:endnote>
  <w:endnote w:type="continuationSeparator" w:id="0">
    <w:p w:rsidR="00F23474" w:rsidRDefault="00F23474" w:rsidP="00EB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92" w:rsidRDefault="002B4C92" w:rsidP="00456E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4C92" w:rsidRDefault="002B4C92" w:rsidP="005567F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92" w:rsidRPr="00401AA7" w:rsidRDefault="002B4C92" w:rsidP="009E708C">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74" w:rsidRDefault="00F23474" w:rsidP="00EB09CB">
      <w:r>
        <w:separator/>
      </w:r>
    </w:p>
  </w:footnote>
  <w:footnote w:type="continuationSeparator" w:id="0">
    <w:p w:rsidR="00F23474" w:rsidRDefault="00F23474" w:rsidP="00EB0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92" w:rsidRDefault="002B4C92" w:rsidP="00DA4B91">
    <w:pPr>
      <w:pStyle w:val="Encabezado"/>
      <w:tabs>
        <w:tab w:val="left" w:pos="7938"/>
      </w:tabs>
      <w:ind w:left="2982" w:firstLine="4956"/>
      <w:jc w:val="center"/>
      <w:rPr>
        <w:noProof/>
        <w:lang w:val="es-CO" w:eastAsia="es-CO"/>
      </w:rPr>
    </w:pPr>
    <w:r w:rsidRPr="004A2E22">
      <w:rPr>
        <w:noProof/>
        <w:lang w:val="es-CO" w:eastAsia="es-CO"/>
      </w:rPr>
      <w:drawing>
        <wp:anchor distT="0" distB="0" distL="114300" distR="114300" simplePos="0" relativeHeight="251658240" behindDoc="0" locked="0" layoutInCell="1" allowOverlap="1" wp14:anchorId="0637FE3E" wp14:editId="2D213B75">
          <wp:simplePos x="0" y="0"/>
          <wp:positionH relativeFrom="column">
            <wp:posOffset>14605</wp:posOffset>
          </wp:positionH>
          <wp:positionV relativeFrom="paragraph">
            <wp:posOffset>25121</wp:posOffset>
          </wp:positionV>
          <wp:extent cx="1696720" cy="5429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92" w:rsidRPr="004A2E22" w:rsidRDefault="002B4C92" w:rsidP="00DA4B91">
    <w:pPr>
      <w:pStyle w:val="Encabezado"/>
      <w:tabs>
        <w:tab w:val="left" w:pos="7938"/>
      </w:tabs>
      <w:ind w:left="2982" w:firstLine="4956"/>
      <w:jc w:val="center"/>
      <w:rPr>
        <w:rFonts w:ascii="Arial" w:hAnsi="Arial" w:cs="Arial"/>
        <w:sz w:val="14"/>
        <w:szCs w:val="20"/>
        <w:lang w:val="es-CO"/>
      </w:rPr>
    </w:pPr>
    <w:r w:rsidRPr="004A2E22">
      <w:rPr>
        <w:noProof/>
        <w:lang w:val="es-CO" w:eastAsia="es-CO"/>
      </w:rPr>
      <w:t xml:space="preserve"> </w:t>
    </w:r>
    <w:r w:rsidRPr="004A2E22">
      <w:rPr>
        <w:noProof/>
        <w:lang w:val="es-CO" w:eastAsia="es-CO"/>
      </w:rPr>
      <w:drawing>
        <wp:anchor distT="0" distB="0" distL="114300" distR="114300" simplePos="0" relativeHeight="251659264" behindDoc="0" locked="0" layoutInCell="1" allowOverlap="1" wp14:anchorId="6EF2D46A" wp14:editId="74CBC956">
          <wp:simplePos x="0" y="0"/>
          <wp:positionH relativeFrom="column">
            <wp:posOffset>3789045</wp:posOffset>
          </wp:positionH>
          <wp:positionV relativeFrom="paragraph">
            <wp:posOffset>-137160</wp:posOffset>
          </wp:positionV>
          <wp:extent cx="2128520" cy="680085"/>
          <wp:effectExtent l="0" t="0" r="5080" b="5715"/>
          <wp:wrapTopAndBottom/>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52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E22">
      <w:rPr>
        <w:rFonts w:ascii="Arial" w:hAnsi="Arial" w:cs="Arial"/>
        <w:sz w:val="14"/>
        <w:szCs w:val="20"/>
        <w:lang w:val="es-C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5511"/>
    <w:multiLevelType w:val="hybridMultilevel"/>
    <w:tmpl w:val="910C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F02B2"/>
    <w:multiLevelType w:val="hybridMultilevel"/>
    <w:tmpl w:val="9BB85C6A"/>
    <w:lvl w:ilvl="0" w:tplc="3536EB54">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F442999"/>
    <w:multiLevelType w:val="hybridMultilevel"/>
    <w:tmpl w:val="19763A4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19369D"/>
    <w:multiLevelType w:val="hybridMultilevel"/>
    <w:tmpl w:val="D6BEE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C106E"/>
    <w:multiLevelType w:val="hybridMultilevel"/>
    <w:tmpl w:val="D9B465EA"/>
    <w:lvl w:ilvl="0" w:tplc="AF8618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75766"/>
    <w:multiLevelType w:val="hybridMultilevel"/>
    <w:tmpl w:val="5204F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8028DC"/>
    <w:multiLevelType w:val="hybridMultilevel"/>
    <w:tmpl w:val="910C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6352F"/>
    <w:multiLevelType w:val="hybridMultilevel"/>
    <w:tmpl w:val="2B8014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FDB641C"/>
    <w:multiLevelType w:val="hybridMultilevel"/>
    <w:tmpl w:val="C9020A16"/>
    <w:lvl w:ilvl="0" w:tplc="6DAE2A3C">
      <w:start w:val="1"/>
      <w:numFmt w:val="lowerLetter"/>
      <w:lvlText w:val="%1."/>
      <w:lvlJc w:val="left"/>
      <w:pPr>
        <w:tabs>
          <w:tab w:val="num" w:pos="720"/>
        </w:tabs>
        <w:ind w:left="720" w:hanging="360"/>
      </w:pPr>
      <w:rPr>
        <w:rFonts w:ascii="Arial" w:eastAsiaTheme="minorEastAsia" w:hAnsi="Arial" w:cs="Arial"/>
      </w:rPr>
    </w:lvl>
    <w:lvl w:ilvl="1" w:tplc="70167C60">
      <w:numFmt w:val="bullet"/>
      <w:lvlText w:val="•"/>
      <w:lvlJc w:val="left"/>
      <w:pPr>
        <w:tabs>
          <w:tab w:val="num" w:pos="1440"/>
        </w:tabs>
        <w:ind w:left="1440" w:hanging="360"/>
      </w:pPr>
      <w:rPr>
        <w:rFonts w:ascii="Arial" w:hAnsi="Arial" w:hint="default"/>
      </w:rPr>
    </w:lvl>
    <w:lvl w:ilvl="2" w:tplc="CCC65A66">
      <w:start w:val="1"/>
      <w:numFmt w:val="decimal"/>
      <w:lvlText w:val="%3."/>
      <w:lvlJc w:val="left"/>
      <w:pPr>
        <w:tabs>
          <w:tab w:val="num" w:pos="2160"/>
        </w:tabs>
        <w:ind w:left="2160" w:hanging="360"/>
      </w:pPr>
    </w:lvl>
    <w:lvl w:ilvl="3" w:tplc="8C6EE3BE" w:tentative="1">
      <w:start w:val="1"/>
      <w:numFmt w:val="decimal"/>
      <w:lvlText w:val="%4."/>
      <w:lvlJc w:val="left"/>
      <w:pPr>
        <w:tabs>
          <w:tab w:val="num" w:pos="2880"/>
        </w:tabs>
        <w:ind w:left="2880" w:hanging="360"/>
      </w:pPr>
    </w:lvl>
    <w:lvl w:ilvl="4" w:tplc="99BE7F4C" w:tentative="1">
      <w:start w:val="1"/>
      <w:numFmt w:val="decimal"/>
      <w:lvlText w:val="%5."/>
      <w:lvlJc w:val="left"/>
      <w:pPr>
        <w:tabs>
          <w:tab w:val="num" w:pos="3600"/>
        </w:tabs>
        <w:ind w:left="3600" w:hanging="360"/>
      </w:pPr>
    </w:lvl>
    <w:lvl w:ilvl="5" w:tplc="EEBAEF54" w:tentative="1">
      <w:start w:val="1"/>
      <w:numFmt w:val="decimal"/>
      <w:lvlText w:val="%6."/>
      <w:lvlJc w:val="left"/>
      <w:pPr>
        <w:tabs>
          <w:tab w:val="num" w:pos="4320"/>
        </w:tabs>
        <w:ind w:left="4320" w:hanging="360"/>
      </w:pPr>
    </w:lvl>
    <w:lvl w:ilvl="6" w:tplc="200A6362" w:tentative="1">
      <w:start w:val="1"/>
      <w:numFmt w:val="decimal"/>
      <w:lvlText w:val="%7."/>
      <w:lvlJc w:val="left"/>
      <w:pPr>
        <w:tabs>
          <w:tab w:val="num" w:pos="5040"/>
        </w:tabs>
        <w:ind w:left="5040" w:hanging="360"/>
      </w:pPr>
    </w:lvl>
    <w:lvl w:ilvl="7" w:tplc="348C40EA" w:tentative="1">
      <w:start w:val="1"/>
      <w:numFmt w:val="decimal"/>
      <w:lvlText w:val="%8."/>
      <w:lvlJc w:val="left"/>
      <w:pPr>
        <w:tabs>
          <w:tab w:val="num" w:pos="5760"/>
        </w:tabs>
        <w:ind w:left="5760" w:hanging="360"/>
      </w:pPr>
    </w:lvl>
    <w:lvl w:ilvl="8" w:tplc="A662A3AC" w:tentative="1">
      <w:start w:val="1"/>
      <w:numFmt w:val="decimal"/>
      <w:lvlText w:val="%9."/>
      <w:lvlJc w:val="left"/>
      <w:pPr>
        <w:tabs>
          <w:tab w:val="num" w:pos="6480"/>
        </w:tabs>
        <w:ind w:left="6480" w:hanging="360"/>
      </w:pPr>
    </w:lvl>
  </w:abstractNum>
  <w:abstractNum w:abstractNumId="9" w15:restartNumberingAfterBreak="0">
    <w:nsid w:val="72B31D0D"/>
    <w:multiLevelType w:val="hybridMultilevel"/>
    <w:tmpl w:val="DADA7D1C"/>
    <w:lvl w:ilvl="0" w:tplc="23747026">
      <w:start w:val="1"/>
      <w:numFmt w:val="decimal"/>
      <w:pStyle w:val="Ttulo2"/>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D360B6"/>
    <w:multiLevelType w:val="hybridMultilevel"/>
    <w:tmpl w:val="D1B48000"/>
    <w:lvl w:ilvl="0" w:tplc="24180072">
      <w:start w:val="1"/>
      <w:numFmt w:val="lowerLetter"/>
      <w:lvlText w:val="%1."/>
      <w:lvlJc w:val="left"/>
      <w:pPr>
        <w:tabs>
          <w:tab w:val="num" w:pos="720"/>
        </w:tabs>
        <w:ind w:left="720" w:hanging="360"/>
      </w:pPr>
      <w:rPr>
        <w:rFonts w:ascii="Arial" w:eastAsiaTheme="minorEastAsia" w:hAnsi="Arial" w:cs="Arial"/>
      </w:rPr>
    </w:lvl>
    <w:lvl w:ilvl="1" w:tplc="D6B8DFE6" w:tentative="1">
      <w:start w:val="1"/>
      <w:numFmt w:val="decimal"/>
      <w:lvlText w:val="%2."/>
      <w:lvlJc w:val="left"/>
      <w:pPr>
        <w:tabs>
          <w:tab w:val="num" w:pos="1440"/>
        </w:tabs>
        <w:ind w:left="1440" w:hanging="360"/>
      </w:pPr>
    </w:lvl>
    <w:lvl w:ilvl="2" w:tplc="0688E224" w:tentative="1">
      <w:start w:val="1"/>
      <w:numFmt w:val="decimal"/>
      <w:lvlText w:val="%3."/>
      <w:lvlJc w:val="left"/>
      <w:pPr>
        <w:tabs>
          <w:tab w:val="num" w:pos="2160"/>
        </w:tabs>
        <w:ind w:left="2160" w:hanging="360"/>
      </w:pPr>
    </w:lvl>
    <w:lvl w:ilvl="3" w:tplc="41724366" w:tentative="1">
      <w:start w:val="1"/>
      <w:numFmt w:val="decimal"/>
      <w:lvlText w:val="%4."/>
      <w:lvlJc w:val="left"/>
      <w:pPr>
        <w:tabs>
          <w:tab w:val="num" w:pos="2880"/>
        </w:tabs>
        <w:ind w:left="2880" w:hanging="360"/>
      </w:pPr>
    </w:lvl>
    <w:lvl w:ilvl="4" w:tplc="EA6006B8" w:tentative="1">
      <w:start w:val="1"/>
      <w:numFmt w:val="decimal"/>
      <w:lvlText w:val="%5."/>
      <w:lvlJc w:val="left"/>
      <w:pPr>
        <w:tabs>
          <w:tab w:val="num" w:pos="3600"/>
        </w:tabs>
        <w:ind w:left="3600" w:hanging="360"/>
      </w:pPr>
    </w:lvl>
    <w:lvl w:ilvl="5" w:tplc="2BBE85AA" w:tentative="1">
      <w:start w:val="1"/>
      <w:numFmt w:val="decimal"/>
      <w:lvlText w:val="%6."/>
      <w:lvlJc w:val="left"/>
      <w:pPr>
        <w:tabs>
          <w:tab w:val="num" w:pos="4320"/>
        </w:tabs>
        <w:ind w:left="4320" w:hanging="360"/>
      </w:pPr>
    </w:lvl>
    <w:lvl w:ilvl="6" w:tplc="5440B21A" w:tentative="1">
      <w:start w:val="1"/>
      <w:numFmt w:val="decimal"/>
      <w:lvlText w:val="%7."/>
      <w:lvlJc w:val="left"/>
      <w:pPr>
        <w:tabs>
          <w:tab w:val="num" w:pos="5040"/>
        </w:tabs>
        <w:ind w:left="5040" w:hanging="360"/>
      </w:pPr>
    </w:lvl>
    <w:lvl w:ilvl="7" w:tplc="0B8A17F6" w:tentative="1">
      <w:start w:val="1"/>
      <w:numFmt w:val="decimal"/>
      <w:lvlText w:val="%8."/>
      <w:lvlJc w:val="left"/>
      <w:pPr>
        <w:tabs>
          <w:tab w:val="num" w:pos="5760"/>
        </w:tabs>
        <w:ind w:left="5760" w:hanging="360"/>
      </w:pPr>
    </w:lvl>
    <w:lvl w:ilvl="8" w:tplc="A6D480EE" w:tentative="1">
      <w:start w:val="1"/>
      <w:numFmt w:val="decimal"/>
      <w:lvlText w:val="%9."/>
      <w:lvlJc w:val="left"/>
      <w:pPr>
        <w:tabs>
          <w:tab w:val="num" w:pos="6480"/>
        </w:tabs>
        <w:ind w:left="6480" w:hanging="360"/>
      </w:pPr>
    </w:lvl>
  </w:abstractNum>
  <w:abstractNum w:abstractNumId="11" w15:restartNumberingAfterBreak="0">
    <w:nsid w:val="76CF3283"/>
    <w:multiLevelType w:val="hybridMultilevel"/>
    <w:tmpl w:val="FBBAA2CC"/>
    <w:lvl w:ilvl="0" w:tplc="D8281E60">
      <w:start w:val="1"/>
      <w:numFmt w:val="decimal"/>
      <w:lvlText w:val="%1."/>
      <w:lvlJc w:val="left"/>
      <w:pPr>
        <w:tabs>
          <w:tab w:val="num" w:pos="720"/>
        </w:tabs>
        <w:ind w:left="720" w:hanging="360"/>
      </w:pPr>
    </w:lvl>
    <w:lvl w:ilvl="1" w:tplc="D004DE18" w:tentative="1">
      <w:start w:val="1"/>
      <w:numFmt w:val="decimal"/>
      <w:lvlText w:val="%2."/>
      <w:lvlJc w:val="left"/>
      <w:pPr>
        <w:tabs>
          <w:tab w:val="num" w:pos="1440"/>
        </w:tabs>
        <w:ind w:left="1440" w:hanging="360"/>
      </w:pPr>
    </w:lvl>
    <w:lvl w:ilvl="2" w:tplc="E92E19E2" w:tentative="1">
      <w:start w:val="1"/>
      <w:numFmt w:val="decimal"/>
      <w:lvlText w:val="%3."/>
      <w:lvlJc w:val="left"/>
      <w:pPr>
        <w:tabs>
          <w:tab w:val="num" w:pos="2160"/>
        </w:tabs>
        <w:ind w:left="2160" w:hanging="360"/>
      </w:pPr>
    </w:lvl>
    <w:lvl w:ilvl="3" w:tplc="6B6207C8" w:tentative="1">
      <w:start w:val="1"/>
      <w:numFmt w:val="decimal"/>
      <w:lvlText w:val="%4."/>
      <w:lvlJc w:val="left"/>
      <w:pPr>
        <w:tabs>
          <w:tab w:val="num" w:pos="2880"/>
        </w:tabs>
        <w:ind w:left="2880" w:hanging="360"/>
      </w:pPr>
    </w:lvl>
    <w:lvl w:ilvl="4" w:tplc="DC16D356" w:tentative="1">
      <w:start w:val="1"/>
      <w:numFmt w:val="decimal"/>
      <w:lvlText w:val="%5."/>
      <w:lvlJc w:val="left"/>
      <w:pPr>
        <w:tabs>
          <w:tab w:val="num" w:pos="3600"/>
        </w:tabs>
        <w:ind w:left="3600" w:hanging="360"/>
      </w:pPr>
    </w:lvl>
    <w:lvl w:ilvl="5" w:tplc="24FC4B1C" w:tentative="1">
      <w:start w:val="1"/>
      <w:numFmt w:val="decimal"/>
      <w:lvlText w:val="%6."/>
      <w:lvlJc w:val="left"/>
      <w:pPr>
        <w:tabs>
          <w:tab w:val="num" w:pos="4320"/>
        </w:tabs>
        <w:ind w:left="4320" w:hanging="360"/>
      </w:pPr>
    </w:lvl>
    <w:lvl w:ilvl="6" w:tplc="CA7223C4" w:tentative="1">
      <w:start w:val="1"/>
      <w:numFmt w:val="decimal"/>
      <w:lvlText w:val="%7."/>
      <w:lvlJc w:val="left"/>
      <w:pPr>
        <w:tabs>
          <w:tab w:val="num" w:pos="5040"/>
        </w:tabs>
        <w:ind w:left="5040" w:hanging="360"/>
      </w:pPr>
    </w:lvl>
    <w:lvl w:ilvl="7" w:tplc="87822EB4" w:tentative="1">
      <w:start w:val="1"/>
      <w:numFmt w:val="decimal"/>
      <w:lvlText w:val="%8."/>
      <w:lvlJc w:val="left"/>
      <w:pPr>
        <w:tabs>
          <w:tab w:val="num" w:pos="5760"/>
        </w:tabs>
        <w:ind w:left="5760" w:hanging="360"/>
      </w:pPr>
    </w:lvl>
    <w:lvl w:ilvl="8" w:tplc="07D03146" w:tentative="1">
      <w:start w:val="1"/>
      <w:numFmt w:val="decimal"/>
      <w:lvlText w:val="%9."/>
      <w:lvlJc w:val="left"/>
      <w:pPr>
        <w:tabs>
          <w:tab w:val="num" w:pos="6480"/>
        </w:tabs>
        <w:ind w:left="6480" w:hanging="360"/>
      </w:pPr>
    </w:lvl>
  </w:abstractNum>
  <w:num w:numId="1">
    <w:abstractNumId w:val="9"/>
  </w:num>
  <w:num w:numId="2">
    <w:abstractNumId w:val="0"/>
  </w:num>
  <w:num w:numId="3">
    <w:abstractNumId w:val="3"/>
  </w:num>
  <w:num w:numId="4">
    <w:abstractNumId w:val="10"/>
  </w:num>
  <w:num w:numId="5">
    <w:abstractNumId w:val="6"/>
  </w:num>
  <w:num w:numId="6">
    <w:abstractNumId w:val="8"/>
  </w:num>
  <w:num w:numId="7">
    <w:abstractNumId w:val="4"/>
  </w:num>
  <w:num w:numId="8">
    <w:abstractNumId w:val="11"/>
  </w:num>
  <w:num w:numId="9">
    <w:abstractNumId w:val="5"/>
  </w:num>
  <w:num w:numId="10">
    <w:abstractNumId w:val="2"/>
  </w:num>
  <w:num w:numId="11">
    <w:abstractNumId w:val="7"/>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7C"/>
    <w:rsid w:val="00003575"/>
    <w:rsid w:val="00003BA6"/>
    <w:rsid w:val="00010BA7"/>
    <w:rsid w:val="00012D0D"/>
    <w:rsid w:val="00025BE0"/>
    <w:rsid w:val="00026AA8"/>
    <w:rsid w:val="00027675"/>
    <w:rsid w:val="000417F3"/>
    <w:rsid w:val="000421F1"/>
    <w:rsid w:val="0004368C"/>
    <w:rsid w:val="00044ABD"/>
    <w:rsid w:val="00044EC9"/>
    <w:rsid w:val="000475F7"/>
    <w:rsid w:val="00051C28"/>
    <w:rsid w:val="00053AD2"/>
    <w:rsid w:val="00062C9B"/>
    <w:rsid w:val="000655A4"/>
    <w:rsid w:val="000659BB"/>
    <w:rsid w:val="00067104"/>
    <w:rsid w:val="00071D30"/>
    <w:rsid w:val="00075A7C"/>
    <w:rsid w:val="000761F2"/>
    <w:rsid w:val="00080DE7"/>
    <w:rsid w:val="00082505"/>
    <w:rsid w:val="00082834"/>
    <w:rsid w:val="00083100"/>
    <w:rsid w:val="000862AA"/>
    <w:rsid w:val="000863A2"/>
    <w:rsid w:val="00092DE6"/>
    <w:rsid w:val="00094B6F"/>
    <w:rsid w:val="000A5624"/>
    <w:rsid w:val="000B0577"/>
    <w:rsid w:val="000B08A3"/>
    <w:rsid w:val="000B3097"/>
    <w:rsid w:val="000B699F"/>
    <w:rsid w:val="000C1522"/>
    <w:rsid w:val="000C648C"/>
    <w:rsid w:val="000D046E"/>
    <w:rsid w:val="000D3172"/>
    <w:rsid w:val="000D3F77"/>
    <w:rsid w:val="000E0CE7"/>
    <w:rsid w:val="000F08C8"/>
    <w:rsid w:val="000F469E"/>
    <w:rsid w:val="000F4F5B"/>
    <w:rsid w:val="0010327D"/>
    <w:rsid w:val="00105DF8"/>
    <w:rsid w:val="00107928"/>
    <w:rsid w:val="00113731"/>
    <w:rsid w:val="001214DD"/>
    <w:rsid w:val="001244BB"/>
    <w:rsid w:val="00125881"/>
    <w:rsid w:val="001337E1"/>
    <w:rsid w:val="00135A47"/>
    <w:rsid w:val="00140039"/>
    <w:rsid w:val="0014135E"/>
    <w:rsid w:val="00142ED0"/>
    <w:rsid w:val="00145246"/>
    <w:rsid w:val="00150AD9"/>
    <w:rsid w:val="00152807"/>
    <w:rsid w:val="00157473"/>
    <w:rsid w:val="00171F04"/>
    <w:rsid w:val="00175FBB"/>
    <w:rsid w:val="0018065E"/>
    <w:rsid w:val="001A2607"/>
    <w:rsid w:val="001B044D"/>
    <w:rsid w:val="001B1FC3"/>
    <w:rsid w:val="001B2464"/>
    <w:rsid w:val="001B26F4"/>
    <w:rsid w:val="001B7022"/>
    <w:rsid w:val="001B7F59"/>
    <w:rsid w:val="001C0B62"/>
    <w:rsid w:val="001C21C2"/>
    <w:rsid w:val="001C447D"/>
    <w:rsid w:val="001C7878"/>
    <w:rsid w:val="001D07AB"/>
    <w:rsid w:val="001D6000"/>
    <w:rsid w:val="001D62DA"/>
    <w:rsid w:val="001D6510"/>
    <w:rsid w:val="001E1A38"/>
    <w:rsid w:val="001E26FA"/>
    <w:rsid w:val="001E6E66"/>
    <w:rsid w:val="001F1CEF"/>
    <w:rsid w:val="001F3686"/>
    <w:rsid w:val="002023A9"/>
    <w:rsid w:val="0020431D"/>
    <w:rsid w:val="00211DE9"/>
    <w:rsid w:val="00211FAA"/>
    <w:rsid w:val="00212C7D"/>
    <w:rsid w:val="00212E9F"/>
    <w:rsid w:val="00222341"/>
    <w:rsid w:val="0022700E"/>
    <w:rsid w:val="00227430"/>
    <w:rsid w:val="00227776"/>
    <w:rsid w:val="002325D9"/>
    <w:rsid w:val="00235D15"/>
    <w:rsid w:val="00236B40"/>
    <w:rsid w:val="002401F4"/>
    <w:rsid w:val="00242414"/>
    <w:rsid w:val="002518FD"/>
    <w:rsid w:val="0025463B"/>
    <w:rsid w:val="0025651C"/>
    <w:rsid w:val="00256D18"/>
    <w:rsid w:val="00262FF3"/>
    <w:rsid w:val="002635D8"/>
    <w:rsid w:val="002638AB"/>
    <w:rsid w:val="00267B1F"/>
    <w:rsid w:val="0027029E"/>
    <w:rsid w:val="002712B4"/>
    <w:rsid w:val="00272C6E"/>
    <w:rsid w:val="0027697B"/>
    <w:rsid w:val="00276E78"/>
    <w:rsid w:val="002837B5"/>
    <w:rsid w:val="002912A0"/>
    <w:rsid w:val="00292E64"/>
    <w:rsid w:val="002A35E4"/>
    <w:rsid w:val="002A427E"/>
    <w:rsid w:val="002A53D0"/>
    <w:rsid w:val="002B047F"/>
    <w:rsid w:val="002B414A"/>
    <w:rsid w:val="002B4C92"/>
    <w:rsid w:val="002B601C"/>
    <w:rsid w:val="002B6C5B"/>
    <w:rsid w:val="002B7898"/>
    <w:rsid w:val="002B7E39"/>
    <w:rsid w:val="002C56EE"/>
    <w:rsid w:val="002D1009"/>
    <w:rsid w:val="002D5372"/>
    <w:rsid w:val="002D57A4"/>
    <w:rsid w:val="002D5CDD"/>
    <w:rsid w:val="002E0A2A"/>
    <w:rsid w:val="002E2267"/>
    <w:rsid w:val="002E3F1C"/>
    <w:rsid w:val="002F6462"/>
    <w:rsid w:val="002F7B2E"/>
    <w:rsid w:val="003018C9"/>
    <w:rsid w:val="00305628"/>
    <w:rsid w:val="0031290B"/>
    <w:rsid w:val="00313789"/>
    <w:rsid w:val="00325806"/>
    <w:rsid w:val="00336DD8"/>
    <w:rsid w:val="00345907"/>
    <w:rsid w:val="003471EE"/>
    <w:rsid w:val="00351F71"/>
    <w:rsid w:val="00361A72"/>
    <w:rsid w:val="0036212B"/>
    <w:rsid w:val="003623EC"/>
    <w:rsid w:val="00363587"/>
    <w:rsid w:val="00364CFD"/>
    <w:rsid w:val="00367D36"/>
    <w:rsid w:val="00371461"/>
    <w:rsid w:val="00373630"/>
    <w:rsid w:val="0037577B"/>
    <w:rsid w:val="003877EF"/>
    <w:rsid w:val="00387894"/>
    <w:rsid w:val="003908B7"/>
    <w:rsid w:val="00390B0D"/>
    <w:rsid w:val="003915CA"/>
    <w:rsid w:val="00391990"/>
    <w:rsid w:val="003919CC"/>
    <w:rsid w:val="003A5E7C"/>
    <w:rsid w:val="003B2368"/>
    <w:rsid w:val="003B594E"/>
    <w:rsid w:val="003D6DE6"/>
    <w:rsid w:val="003E1202"/>
    <w:rsid w:val="003E33E4"/>
    <w:rsid w:val="003E4730"/>
    <w:rsid w:val="003E4EE6"/>
    <w:rsid w:val="003E5A15"/>
    <w:rsid w:val="003E66B6"/>
    <w:rsid w:val="003E7431"/>
    <w:rsid w:val="003E7B3B"/>
    <w:rsid w:val="003F189A"/>
    <w:rsid w:val="003F6409"/>
    <w:rsid w:val="003F7562"/>
    <w:rsid w:val="00401AA7"/>
    <w:rsid w:val="00402111"/>
    <w:rsid w:val="00402BB8"/>
    <w:rsid w:val="00403D33"/>
    <w:rsid w:val="00403FE0"/>
    <w:rsid w:val="0040409F"/>
    <w:rsid w:val="0041212E"/>
    <w:rsid w:val="004170D6"/>
    <w:rsid w:val="00432509"/>
    <w:rsid w:val="00432CFA"/>
    <w:rsid w:val="00434108"/>
    <w:rsid w:val="004372DE"/>
    <w:rsid w:val="00437D54"/>
    <w:rsid w:val="0045447E"/>
    <w:rsid w:val="00456E03"/>
    <w:rsid w:val="00471345"/>
    <w:rsid w:val="00471B46"/>
    <w:rsid w:val="00475F55"/>
    <w:rsid w:val="00492276"/>
    <w:rsid w:val="00494A40"/>
    <w:rsid w:val="00494F6C"/>
    <w:rsid w:val="0049594D"/>
    <w:rsid w:val="00496BC1"/>
    <w:rsid w:val="004A2E22"/>
    <w:rsid w:val="004C0A6F"/>
    <w:rsid w:val="004C0BC6"/>
    <w:rsid w:val="004C0CB0"/>
    <w:rsid w:val="004D321F"/>
    <w:rsid w:val="004D6517"/>
    <w:rsid w:val="004E0945"/>
    <w:rsid w:val="004F47A4"/>
    <w:rsid w:val="005067A8"/>
    <w:rsid w:val="00507D06"/>
    <w:rsid w:val="00513B66"/>
    <w:rsid w:val="00514570"/>
    <w:rsid w:val="00514E47"/>
    <w:rsid w:val="00530380"/>
    <w:rsid w:val="00530687"/>
    <w:rsid w:val="00532077"/>
    <w:rsid w:val="005327F0"/>
    <w:rsid w:val="00533068"/>
    <w:rsid w:val="00533D7C"/>
    <w:rsid w:val="00533F05"/>
    <w:rsid w:val="005346FD"/>
    <w:rsid w:val="00535C23"/>
    <w:rsid w:val="00541CB2"/>
    <w:rsid w:val="00542446"/>
    <w:rsid w:val="00543A2E"/>
    <w:rsid w:val="005447E8"/>
    <w:rsid w:val="00545B92"/>
    <w:rsid w:val="00555058"/>
    <w:rsid w:val="00556631"/>
    <w:rsid w:val="005567FD"/>
    <w:rsid w:val="005568BC"/>
    <w:rsid w:val="005575D1"/>
    <w:rsid w:val="0056019B"/>
    <w:rsid w:val="00570C8E"/>
    <w:rsid w:val="00574F78"/>
    <w:rsid w:val="00581D2E"/>
    <w:rsid w:val="00583218"/>
    <w:rsid w:val="0058483E"/>
    <w:rsid w:val="005905FF"/>
    <w:rsid w:val="0059471E"/>
    <w:rsid w:val="00596FF9"/>
    <w:rsid w:val="005A37C5"/>
    <w:rsid w:val="005A3813"/>
    <w:rsid w:val="005B1E5D"/>
    <w:rsid w:val="005C4281"/>
    <w:rsid w:val="005C476F"/>
    <w:rsid w:val="005C493E"/>
    <w:rsid w:val="005D022D"/>
    <w:rsid w:val="005D28EC"/>
    <w:rsid w:val="005D643B"/>
    <w:rsid w:val="005D6CBF"/>
    <w:rsid w:val="005E068D"/>
    <w:rsid w:val="005E1266"/>
    <w:rsid w:val="005E7043"/>
    <w:rsid w:val="005F67DC"/>
    <w:rsid w:val="00600507"/>
    <w:rsid w:val="00600B68"/>
    <w:rsid w:val="00600F51"/>
    <w:rsid w:val="006049F2"/>
    <w:rsid w:val="00604FD3"/>
    <w:rsid w:val="00606D8C"/>
    <w:rsid w:val="006110EE"/>
    <w:rsid w:val="00620696"/>
    <w:rsid w:val="006244A8"/>
    <w:rsid w:val="00630C21"/>
    <w:rsid w:val="006337A8"/>
    <w:rsid w:val="00637782"/>
    <w:rsid w:val="006437FD"/>
    <w:rsid w:val="0064469F"/>
    <w:rsid w:val="00657997"/>
    <w:rsid w:val="00657AEA"/>
    <w:rsid w:val="00657C86"/>
    <w:rsid w:val="00660AAE"/>
    <w:rsid w:val="006638BB"/>
    <w:rsid w:val="006672AC"/>
    <w:rsid w:val="00682098"/>
    <w:rsid w:val="00682E8B"/>
    <w:rsid w:val="00685012"/>
    <w:rsid w:val="00686024"/>
    <w:rsid w:val="00690627"/>
    <w:rsid w:val="0069456D"/>
    <w:rsid w:val="00694838"/>
    <w:rsid w:val="006963C2"/>
    <w:rsid w:val="006A32AE"/>
    <w:rsid w:val="006B0844"/>
    <w:rsid w:val="006B307E"/>
    <w:rsid w:val="006B3D4E"/>
    <w:rsid w:val="006B5ED6"/>
    <w:rsid w:val="006C0367"/>
    <w:rsid w:val="006C1ED3"/>
    <w:rsid w:val="006E290D"/>
    <w:rsid w:val="006E32C7"/>
    <w:rsid w:val="006E6557"/>
    <w:rsid w:val="006E7DDD"/>
    <w:rsid w:val="00703A33"/>
    <w:rsid w:val="007058F4"/>
    <w:rsid w:val="007112A6"/>
    <w:rsid w:val="007232F9"/>
    <w:rsid w:val="00723749"/>
    <w:rsid w:val="007237BA"/>
    <w:rsid w:val="0072570A"/>
    <w:rsid w:val="00733436"/>
    <w:rsid w:val="00734C96"/>
    <w:rsid w:val="00746665"/>
    <w:rsid w:val="00754FC6"/>
    <w:rsid w:val="007659A6"/>
    <w:rsid w:val="00773C20"/>
    <w:rsid w:val="00774FE9"/>
    <w:rsid w:val="00781B4C"/>
    <w:rsid w:val="0079797B"/>
    <w:rsid w:val="007A4082"/>
    <w:rsid w:val="007B01E5"/>
    <w:rsid w:val="007B023A"/>
    <w:rsid w:val="007B4DA1"/>
    <w:rsid w:val="007B72F5"/>
    <w:rsid w:val="007D2527"/>
    <w:rsid w:val="007E21CE"/>
    <w:rsid w:val="007E32A4"/>
    <w:rsid w:val="007E6100"/>
    <w:rsid w:val="007F0356"/>
    <w:rsid w:val="007F04FB"/>
    <w:rsid w:val="007F08DC"/>
    <w:rsid w:val="007F4191"/>
    <w:rsid w:val="007F6E4E"/>
    <w:rsid w:val="00801B0B"/>
    <w:rsid w:val="00802BF7"/>
    <w:rsid w:val="008121B2"/>
    <w:rsid w:val="00813666"/>
    <w:rsid w:val="0081592D"/>
    <w:rsid w:val="008213A2"/>
    <w:rsid w:val="008225B6"/>
    <w:rsid w:val="00827F35"/>
    <w:rsid w:val="00830612"/>
    <w:rsid w:val="00833963"/>
    <w:rsid w:val="00837F0C"/>
    <w:rsid w:val="00846BB7"/>
    <w:rsid w:val="00853702"/>
    <w:rsid w:val="00857D20"/>
    <w:rsid w:val="00860042"/>
    <w:rsid w:val="00862371"/>
    <w:rsid w:val="0087130B"/>
    <w:rsid w:val="00872E86"/>
    <w:rsid w:val="008779EC"/>
    <w:rsid w:val="0088340D"/>
    <w:rsid w:val="008862CF"/>
    <w:rsid w:val="00892E6D"/>
    <w:rsid w:val="008949F9"/>
    <w:rsid w:val="008A59BB"/>
    <w:rsid w:val="008A7FB7"/>
    <w:rsid w:val="008B4619"/>
    <w:rsid w:val="008B617D"/>
    <w:rsid w:val="008B7D62"/>
    <w:rsid w:val="008C1E3C"/>
    <w:rsid w:val="008E0CDD"/>
    <w:rsid w:val="008E3530"/>
    <w:rsid w:val="008E3DD7"/>
    <w:rsid w:val="008E5328"/>
    <w:rsid w:val="008E57F1"/>
    <w:rsid w:val="008E76DC"/>
    <w:rsid w:val="008F0F10"/>
    <w:rsid w:val="008F117C"/>
    <w:rsid w:val="008F23EF"/>
    <w:rsid w:val="008F372D"/>
    <w:rsid w:val="008F4B62"/>
    <w:rsid w:val="008F5388"/>
    <w:rsid w:val="008F5FD2"/>
    <w:rsid w:val="008F6CD6"/>
    <w:rsid w:val="008F7370"/>
    <w:rsid w:val="00905243"/>
    <w:rsid w:val="00914050"/>
    <w:rsid w:val="00925AE0"/>
    <w:rsid w:val="009262B7"/>
    <w:rsid w:val="009264C2"/>
    <w:rsid w:val="0092772B"/>
    <w:rsid w:val="0093176C"/>
    <w:rsid w:val="00935A21"/>
    <w:rsid w:val="00940900"/>
    <w:rsid w:val="00953247"/>
    <w:rsid w:val="00956225"/>
    <w:rsid w:val="0095786A"/>
    <w:rsid w:val="00960BEB"/>
    <w:rsid w:val="00960D57"/>
    <w:rsid w:val="00960D94"/>
    <w:rsid w:val="0096259D"/>
    <w:rsid w:val="00962691"/>
    <w:rsid w:val="009643A6"/>
    <w:rsid w:val="00974D36"/>
    <w:rsid w:val="00977B6A"/>
    <w:rsid w:val="009800EF"/>
    <w:rsid w:val="00986DD9"/>
    <w:rsid w:val="00996906"/>
    <w:rsid w:val="009A2A19"/>
    <w:rsid w:val="009A5625"/>
    <w:rsid w:val="009B288D"/>
    <w:rsid w:val="009B7158"/>
    <w:rsid w:val="009C4783"/>
    <w:rsid w:val="009C68C5"/>
    <w:rsid w:val="009C7006"/>
    <w:rsid w:val="009D061D"/>
    <w:rsid w:val="009D235B"/>
    <w:rsid w:val="009D2AEC"/>
    <w:rsid w:val="009D5128"/>
    <w:rsid w:val="009E708C"/>
    <w:rsid w:val="009F0E00"/>
    <w:rsid w:val="009F4585"/>
    <w:rsid w:val="009F7B30"/>
    <w:rsid w:val="00A0457D"/>
    <w:rsid w:val="00A2313E"/>
    <w:rsid w:val="00A24F09"/>
    <w:rsid w:val="00A26B28"/>
    <w:rsid w:val="00A26DAA"/>
    <w:rsid w:val="00A42CE3"/>
    <w:rsid w:val="00A42DD9"/>
    <w:rsid w:val="00A43E7D"/>
    <w:rsid w:val="00A441ED"/>
    <w:rsid w:val="00A44E77"/>
    <w:rsid w:val="00A44FDF"/>
    <w:rsid w:val="00A45007"/>
    <w:rsid w:val="00A4506C"/>
    <w:rsid w:val="00A5348E"/>
    <w:rsid w:val="00A5409A"/>
    <w:rsid w:val="00A6174C"/>
    <w:rsid w:val="00A64DAC"/>
    <w:rsid w:val="00A71816"/>
    <w:rsid w:val="00A80AB8"/>
    <w:rsid w:val="00A81681"/>
    <w:rsid w:val="00A81E03"/>
    <w:rsid w:val="00A94253"/>
    <w:rsid w:val="00A94998"/>
    <w:rsid w:val="00A96D66"/>
    <w:rsid w:val="00AB1570"/>
    <w:rsid w:val="00AC01FD"/>
    <w:rsid w:val="00AC2C60"/>
    <w:rsid w:val="00AC69F6"/>
    <w:rsid w:val="00AC6A1A"/>
    <w:rsid w:val="00AD0D0D"/>
    <w:rsid w:val="00AD1B59"/>
    <w:rsid w:val="00AD4DC6"/>
    <w:rsid w:val="00AE60A1"/>
    <w:rsid w:val="00AE7A03"/>
    <w:rsid w:val="00AF343F"/>
    <w:rsid w:val="00AF7893"/>
    <w:rsid w:val="00AF7902"/>
    <w:rsid w:val="00B01FE9"/>
    <w:rsid w:val="00B0291C"/>
    <w:rsid w:val="00B03FB7"/>
    <w:rsid w:val="00B0499C"/>
    <w:rsid w:val="00B07E21"/>
    <w:rsid w:val="00B13A6D"/>
    <w:rsid w:val="00B1647C"/>
    <w:rsid w:val="00B200EF"/>
    <w:rsid w:val="00B21914"/>
    <w:rsid w:val="00B257D9"/>
    <w:rsid w:val="00B26143"/>
    <w:rsid w:val="00B34841"/>
    <w:rsid w:val="00B37810"/>
    <w:rsid w:val="00B419F4"/>
    <w:rsid w:val="00B636BA"/>
    <w:rsid w:val="00B70565"/>
    <w:rsid w:val="00B73FAE"/>
    <w:rsid w:val="00B8357B"/>
    <w:rsid w:val="00B853EE"/>
    <w:rsid w:val="00B86932"/>
    <w:rsid w:val="00B86B11"/>
    <w:rsid w:val="00B94641"/>
    <w:rsid w:val="00B95C37"/>
    <w:rsid w:val="00B9619B"/>
    <w:rsid w:val="00BA4CA3"/>
    <w:rsid w:val="00BA68A7"/>
    <w:rsid w:val="00BA6E4E"/>
    <w:rsid w:val="00BB4337"/>
    <w:rsid w:val="00BB6D4D"/>
    <w:rsid w:val="00BC04DC"/>
    <w:rsid w:val="00BC1745"/>
    <w:rsid w:val="00BC513A"/>
    <w:rsid w:val="00BD057A"/>
    <w:rsid w:val="00BE65C8"/>
    <w:rsid w:val="00BE6C56"/>
    <w:rsid w:val="00BF3103"/>
    <w:rsid w:val="00BF406D"/>
    <w:rsid w:val="00C0008D"/>
    <w:rsid w:val="00C0410C"/>
    <w:rsid w:val="00C049B2"/>
    <w:rsid w:val="00C052B9"/>
    <w:rsid w:val="00C17ECF"/>
    <w:rsid w:val="00C21ACB"/>
    <w:rsid w:val="00C23EB6"/>
    <w:rsid w:val="00C243F6"/>
    <w:rsid w:val="00C26857"/>
    <w:rsid w:val="00C46CB3"/>
    <w:rsid w:val="00C521E0"/>
    <w:rsid w:val="00C53667"/>
    <w:rsid w:val="00C5468E"/>
    <w:rsid w:val="00C56BB9"/>
    <w:rsid w:val="00C61523"/>
    <w:rsid w:val="00C641D1"/>
    <w:rsid w:val="00C64292"/>
    <w:rsid w:val="00C674B7"/>
    <w:rsid w:val="00C704D0"/>
    <w:rsid w:val="00C76129"/>
    <w:rsid w:val="00C76F4B"/>
    <w:rsid w:val="00C82C55"/>
    <w:rsid w:val="00C849BB"/>
    <w:rsid w:val="00C84BDE"/>
    <w:rsid w:val="00C84BE9"/>
    <w:rsid w:val="00C84CF6"/>
    <w:rsid w:val="00C96C48"/>
    <w:rsid w:val="00CA0C0B"/>
    <w:rsid w:val="00CA3C1A"/>
    <w:rsid w:val="00CB0BC0"/>
    <w:rsid w:val="00CB1857"/>
    <w:rsid w:val="00CB32B1"/>
    <w:rsid w:val="00CB7148"/>
    <w:rsid w:val="00CC00AE"/>
    <w:rsid w:val="00CC65AD"/>
    <w:rsid w:val="00CD5EA2"/>
    <w:rsid w:val="00CF0B0D"/>
    <w:rsid w:val="00CF1B1C"/>
    <w:rsid w:val="00CF2CBA"/>
    <w:rsid w:val="00CF2D99"/>
    <w:rsid w:val="00D024F1"/>
    <w:rsid w:val="00D03798"/>
    <w:rsid w:val="00D06D65"/>
    <w:rsid w:val="00D14E4C"/>
    <w:rsid w:val="00D2306D"/>
    <w:rsid w:val="00D23262"/>
    <w:rsid w:val="00D25615"/>
    <w:rsid w:val="00D25DB0"/>
    <w:rsid w:val="00D27EC2"/>
    <w:rsid w:val="00D33C60"/>
    <w:rsid w:val="00D3630C"/>
    <w:rsid w:val="00D36F02"/>
    <w:rsid w:val="00D42B52"/>
    <w:rsid w:val="00D44621"/>
    <w:rsid w:val="00D45125"/>
    <w:rsid w:val="00D46BE7"/>
    <w:rsid w:val="00D52296"/>
    <w:rsid w:val="00D56FB4"/>
    <w:rsid w:val="00D60AF9"/>
    <w:rsid w:val="00D67EA5"/>
    <w:rsid w:val="00D71EAA"/>
    <w:rsid w:val="00D77E5D"/>
    <w:rsid w:val="00D8015D"/>
    <w:rsid w:val="00D86760"/>
    <w:rsid w:val="00D87B16"/>
    <w:rsid w:val="00DA4B91"/>
    <w:rsid w:val="00DA5004"/>
    <w:rsid w:val="00DA5373"/>
    <w:rsid w:val="00DA62B4"/>
    <w:rsid w:val="00DA72B7"/>
    <w:rsid w:val="00DB1353"/>
    <w:rsid w:val="00DC1B13"/>
    <w:rsid w:val="00DC3B6B"/>
    <w:rsid w:val="00DC4649"/>
    <w:rsid w:val="00DD27BD"/>
    <w:rsid w:val="00DD2AED"/>
    <w:rsid w:val="00DD6385"/>
    <w:rsid w:val="00DD6D48"/>
    <w:rsid w:val="00DE0F1D"/>
    <w:rsid w:val="00DE1689"/>
    <w:rsid w:val="00DE233C"/>
    <w:rsid w:val="00DE24D3"/>
    <w:rsid w:val="00DE40A9"/>
    <w:rsid w:val="00DE68D3"/>
    <w:rsid w:val="00DF242F"/>
    <w:rsid w:val="00DF4ACD"/>
    <w:rsid w:val="00DF7697"/>
    <w:rsid w:val="00E00B87"/>
    <w:rsid w:val="00E01807"/>
    <w:rsid w:val="00E03731"/>
    <w:rsid w:val="00E05763"/>
    <w:rsid w:val="00E05ABE"/>
    <w:rsid w:val="00E12B14"/>
    <w:rsid w:val="00E161BA"/>
    <w:rsid w:val="00E23928"/>
    <w:rsid w:val="00E3176D"/>
    <w:rsid w:val="00E318C2"/>
    <w:rsid w:val="00E31C10"/>
    <w:rsid w:val="00E3302A"/>
    <w:rsid w:val="00E333F9"/>
    <w:rsid w:val="00E33919"/>
    <w:rsid w:val="00E367EA"/>
    <w:rsid w:val="00E368E4"/>
    <w:rsid w:val="00E37E20"/>
    <w:rsid w:val="00E4051F"/>
    <w:rsid w:val="00E4295B"/>
    <w:rsid w:val="00E43473"/>
    <w:rsid w:val="00E52F20"/>
    <w:rsid w:val="00E5507C"/>
    <w:rsid w:val="00E56878"/>
    <w:rsid w:val="00E569A6"/>
    <w:rsid w:val="00E60239"/>
    <w:rsid w:val="00E60DFD"/>
    <w:rsid w:val="00E656C8"/>
    <w:rsid w:val="00E67C4F"/>
    <w:rsid w:val="00E75D4D"/>
    <w:rsid w:val="00E76E5A"/>
    <w:rsid w:val="00E84143"/>
    <w:rsid w:val="00E92402"/>
    <w:rsid w:val="00E940F8"/>
    <w:rsid w:val="00E94D51"/>
    <w:rsid w:val="00EA3D7D"/>
    <w:rsid w:val="00EA6588"/>
    <w:rsid w:val="00EB09CB"/>
    <w:rsid w:val="00EB28E1"/>
    <w:rsid w:val="00EB53C7"/>
    <w:rsid w:val="00EB67A1"/>
    <w:rsid w:val="00EB6F20"/>
    <w:rsid w:val="00EC530C"/>
    <w:rsid w:val="00ED60AE"/>
    <w:rsid w:val="00ED61C7"/>
    <w:rsid w:val="00ED6B44"/>
    <w:rsid w:val="00EE44A1"/>
    <w:rsid w:val="00EF0323"/>
    <w:rsid w:val="00EF2131"/>
    <w:rsid w:val="00EF4362"/>
    <w:rsid w:val="00EF5B8F"/>
    <w:rsid w:val="00EF650E"/>
    <w:rsid w:val="00F00FC2"/>
    <w:rsid w:val="00F01F20"/>
    <w:rsid w:val="00F02CA3"/>
    <w:rsid w:val="00F03879"/>
    <w:rsid w:val="00F05AE7"/>
    <w:rsid w:val="00F065E4"/>
    <w:rsid w:val="00F07799"/>
    <w:rsid w:val="00F10977"/>
    <w:rsid w:val="00F10C7C"/>
    <w:rsid w:val="00F117E5"/>
    <w:rsid w:val="00F1346E"/>
    <w:rsid w:val="00F16F10"/>
    <w:rsid w:val="00F17AF0"/>
    <w:rsid w:val="00F23474"/>
    <w:rsid w:val="00F2750E"/>
    <w:rsid w:val="00F52705"/>
    <w:rsid w:val="00F52826"/>
    <w:rsid w:val="00F5292E"/>
    <w:rsid w:val="00F534A6"/>
    <w:rsid w:val="00F55574"/>
    <w:rsid w:val="00F568BB"/>
    <w:rsid w:val="00F57EBB"/>
    <w:rsid w:val="00F602BD"/>
    <w:rsid w:val="00F641A8"/>
    <w:rsid w:val="00F66D66"/>
    <w:rsid w:val="00F717D6"/>
    <w:rsid w:val="00F73EFC"/>
    <w:rsid w:val="00F76CA5"/>
    <w:rsid w:val="00F80A0F"/>
    <w:rsid w:val="00F83C54"/>
    <w:rsid w:val="00F9573A"/>
    <w:rsid w:val="00FA52B7"/>
    <w:rsid w:val="00FA5A1B"/>
    <w:rsid w:val="00FA60D4"/>
    <w:rsid w:val="00FA6AEF"/>
    <w:rsid w:val="00FC04AC"/>
    <w:rsid w:val="00FC290A"/>
    <w:rsid w:val="00FC390C"/>
    <w:rsid w:val="00FD0DF6"/>
    <w:rsid w:val="00FD4B11"/>
    <w:rsid w:val="00FD6349"/>
    <w:rsid w:val="00FE48F8"/>
    <w:rsid w:val="00FE5FB5"/>
    <w:rsid w:val="00FE6383"/>
    <w:rsid w:val="00FF184E"/>
    <w:rsid w:val="00FF59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AB97AFD-F5BA-4F16-9EDE-76E8519D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437FD"/>
    <w:pPr>
      <w:keepNext/>
      <w:keepLines/>
      <w:spacing w:after="219"/>
      <w:ind w:left="360" w:hanging="360"/>
      <w:outlineLvl w:val="0"/>
    </w:pPr>
    <w:rPr>
      <w:rFonts w:ascii="Arial" w:eastAsia="Arial" w:hAnsi="Arial" w:cs="Arial"/>
      <w:b/>
      <w:lang w:val="es-CO" w:eastAsia="en-US"/>
    </w:rPr>
  </w:style>
  <w:style w:type="paragraph" w:styleId="Ttulo2">
    <w:name w:val="heading 2"/>
    <w:basedOn w:val="Normal"/>
    <w:next w:val="Normal"/>
    <w:link w:val="Ttulo2Car"/>
    <w:uiPriority w:val="9"/>
    <w:unhideWhenUsed/>
    <w:qFormat/>
    <w:rsid w:val="002401F4"/>
    <w:pPr>
      <w:keepNext/>
      <w:keepLines/>
      <w:numPr>
        <w:numId w:val="1"/>
      </w:numPr>
      <w:spacing w:before="40" w:line="259" w:lineRule="auto"/>
      <w:outlineLvl w:val="1"/>
    </w:pPr>
    <w:rPr>
      <w:rFonts w:ascii="Arial" w:eastAsiaTheme="majorEastAsia" w:hAnsi="Arial" w:cs="Arial"/>
      <w:b/>
      <w:sz w:val="26"/>
      <w:szCs w:val="26"/>
      <w:lang w:val="es-CO" w:eastAsia="en-US"/>
    </w:rPr>
  </w:style>
  <w:style w:type="paragraph" w:styleId="Ttulo3">
    <w:name w:val="heading 3"/>
    <w:basedOn w:val="Normal"/>
    <w:next w:val="Normal"/>
    <w:link w:val="Ttulo3Car"/>
    <w:uiPriority w:val="9"/>
    <w:unhideWhenUsed/>
    <w:qFormat/>
    <w:rsid w:val="00B86932"/>
    <w:pPr>
      <w:keepNext/>
      <w:keepLines/>
      <w:spacing w:before="40"/>
      <w:outlineLvl w:val="2"/>
    </w:pPr>
    <w:rPr>
      <w:rFonts w:ascii="Arial" w:eastAsiaTheme="majorEastAsia"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D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0D57"/>
    <w:rPr>
      <w:rFonts w:ascii="Lucida Grande" w:hAnsi="Lucida Grande" w:cs="Lucida Grande"/>
      <w:sz w:val="18"/>
      <w:szCs w:val="18"/>
    </w:rPr>
  </w:style>
  <w:style w:type="paragraph" w:styleId="Textonotapie">
    <w:name w:val="footnote text"/>
    <w:basedOn w:val="Normal"/>
    <w:link w:val="TextonotapieCar"/>
    <w:uiPriority w:val="99"/>
    <w:unhideWhenUsed/>
    <w:rsid w:val="00EB09CB"/>
  </w:style>
  <w:style w:type="character" w:customStyle="1" w:styleId="TextonotapieCar">
    <w:name w:val="Texto nota pie Car"/>
    <w:basedOn w:val="Fuentedeprrafopredeter"/>
    <w:link w:val="Textonotapie"/>
    <w:uiPriority w:val="99"/>
    <w:rsid w:val="00EB09CB"/>
  </w:style>
  <w:style w:type="character" w:styleId="Refdenotaalpie">
    <w:name w:val="footnote reference"/>
    <w:basedOn w:val="Fuentedeprrafopredeter"/>
    <w:uiPriority w:val="99"/>
    <w:unhideWhenUsed/>
    <w:rsid w:val="00EB09CB"/>
    <w:rPr>
      <w:vertAlign w:val="superscript"/>
    </w:rPr>
  </w:style>
  <w:style w:type="paragraph" w:styleId="Encabezado">
    <w:name w:val="header"/>
    <w:basedOn w:val="Normal"/>
    <w:link w:val="EncabezadoCar"/>
    <w:unhideWhenUsed/>
    <w:rsid w:val="00FA6AEF"/>
    <w:pPr>
      <w:tabs>
        <w:tab w:val="center" w:pos="4252"/>
        <w:tab w:val="right" w:pos="8504"/>
      </w:tabs>
    </w:pPr>
  </w:style>
  <w:style w:type="character" w:customStyle="1" w:styleId="EncabezadoCar">
    <w:name w:val="Encabezado Car"/>
    <w:basedOn w:val="Fuentedeprrafopredeter"/>
    <w:link w:val="Encabezado"/>
    <w:uiPriority w:val="99"/>
    <w:rsid w:val="00FA6AEF"/>
  </w:style>
  <w:style w:type="paragraph" w:styleId="Piedepgina">
    <w:name w:val="footer"/>
    <w:basedOn w:val="Normal"/>
    <w:link w:val="PiedepginaCar"/>
    <w:uiPriority w:val="99"/>
    <w:unhideWhenUsed/>
    <w:rsid w:val="00FA6AEF"/>
    <w:pPr>
      <w:tabs>
        <w:tab w:val="center" w:pos="4252"/>
        <w:tab w:val="right" w:pos="8504"/>
      </w:tabs>
    </w:pPr>
  </w:style>
  <w:style w:type="character" w:customStyle="1" w:styleId="PiedepginaCar">
    <w:name w:val="Pie de página Car"/>
    <w:basedOn w:val="Fuentedeprrafopredeter"/>
    <w:link w:val="Piedepgina"/>
    <w:uiPriority w:val="99"/>
    <w:rsid w:val="00FA6AEF"/>
  </w:style>
  <w:style w:type="table" w:styleId="Tablaconcuadrcula">
    <w:name w:val="Table Grid"/>
    <w:basedOn w:val="Tablanormal"/>
    <w:uiPriority w:val="59"/>
    <w:rsid w:val="00A42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493E"/>
    <w:pPr>
      <w:ind w:left="720"/>
      <w:contextualSpacing/>
    </w:pPr>
  </w:style>
  <w:style w:type="character" w:styleId="Hipervnculo">
    <w:name w:val="Hyperlink"/>
    <w:basedOn w:val="Fuentedeprrafopredeter"/>
    <w:uiPriority w:val="99"/>
    <w:unhideWhenUsed/>
    <w:rsid w:val="00837F0C"/>
    <w:rPr>
      <w:color w:val="0000FF" w:themeColor="hyperlink"/>
      <w:u w:val="single"/>
    </w:rPr>
  </w:style>
  <w:style w:type="paragraph" w:styleId="NormalWeb">
    <w:name w:val="Normal (Web)"/>
    <w:basedOn w:val="Normal"/>
    <w:uiPriority w:val="99"/>
    <w:unhideWhenUsed/>
    <w:rsid w:val="00F05AE7"/>
    <w:pPr>
      <w:spacing w:before="100" w:beforeAutospacing="1" w:after="100" w:afterAutospacing="1"/>
    </w:pPr>
    <w:rPr>
      <w:rFonts w:ascii="Times" w:hAnsi="Times" w:cs="Times New Roman"/>
      <w:sz w:val="20"/>
      <w:szCs w:val="20"/>
    </w:rPr>
  </w:style>
  <w:style w:type="character" w:styleId="Nmerodepgina">
    <w:name w:val="page number"/>
    <w:basedOn w:val="Fuentedeprrafopredeter"/>
    <w:uiPriority w:val="99"/>
    <w:semiHidden/>
    <w:unhideWhenUsed/>
    <w:rsid w:val="005567FD"/>
  </w:style>
  <w:style w:type="paragraph" w:customStyle="1" w:styleId="Default">
    <w:name w:val="Default"/>
    <w:rsid w:val="009E708C"/>
    <w:pPr>
      <w:autoSpaceDE w:val="0"/>
      <w:autoSpaceDN w:val="0"/>
      <w:adjustRightInd w:val="0"/>
    </w:pPr>
    <w:rPr>
      <w:rFonts w:ascii="Calibri" w:eastAsia="Times New Roman" w:hAnsi="Calibri" w:cs="Calibri"/>
      <w:color w:val="000000"/>
      <w:lang w:val="es-CO"/>
    </w:rPr>
  </w:style>
  <w:style w:type="paragraph" w:styleId="Descripcin">
    <w:name w:val="caption"/>
    <w:basedOn w:val="Normal"/>
    <w:next w:val="Normal"/>
    <w:uiPriority w:val="99"/>
    <w:unhideWhenUsed/>
    <w:qFormat/>
    <w:rsid w:val="00373630"/>
    <w:pPr>
      <w:spacing w:after="200"/>
      <w:jc w:val="center"/>
    </w:pPr>
    <w:rPr>
      <w:rFonts w:ascii="Times New Roman" w:eastAsia="Times New Roman" w:hAnsi="Times New Roman" w:cs="Times New Roman"/>
      <w:b/>
      <w:bCs/>
      <w:color w:val="5B9BD5"/>
      <w:sz w:val="18"/>
      <w:szCs w:val="18"/>
      <w:lang w:val="es-ES" w:eastAsia="es-ES_tradnl"/>
    </w:rPr>
  </w:style>
  <w:style w:type="table" w:customStyle="1" w:styleId="Tabladecuadrcula5oscura-nfasis11">
    <w:name w:val="Tabla de cuadrícula 5 oscura - Énfasis 11"/>
    <w:basedOn w:val="Tablanormal"/>
    <w:uiPriority w:val="50"/>
    <w:rsid w:val="00A450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31">
    <w:name w:val="Tabla de cuadrícula 4 - Énfasis 31"/>
    <w:basedOn w:val="Tablanormal"/>
    <w:uiPriority w:val="49"/>
    <w:rsid w:val="001F368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1Car">
    <w:name w:val="Título 1 Car"/>
    <w:basedOn w:val="Fuentedeprrafopredeter"/>
    <w:link w:val="Ttulo1"/>
    <w:uiPriority w:val="9"/>
    <w:rsid w:val="006437FD"/>
    <w:rPr>
      <w:rFonts w:ascii="Arial" w:eastAsia="Arial" w:hAnsi="Arial" w:cs="Arial"/>
      <w:b/>
      <w:lang w:val="es-CO" w:eastAsia="en-US"/>
    </w:rPr>
  </w:style>
  <w:style w:type="character" w:customStyle="1" w:styleId="Ttulo2Car">
    <w:name w:val="Título 2 Car"/>
    <w:basedOn w:val="Fuentedeprrafopredeter"/>
    <w:link w:val="Ttulo2"/>
    <w:uiPriority w:val="9"/>
    <w:rsid w:val="002401F4"/>
    <w:rPr>
      <w:rFonts w:ascii="Arial" w:eastAsiaTheme="majorEastAsia" w:hAnsi="Arial" w:cs="Arial"/>
      <w:b/>
      <w:sz w:val="26"/>
      <w:szCs w:val="26"/>
      <w:lang w:val="es-CO" w:eastAsia="en-US"/>
    </w:rPr>
  </w:style>
  <w:style w:type="character" w:styleId="Refdecomentario">
    <w:name w:val="annotation reference"/>
    <w:basedOn w:val="Fuentedeprrafopredeter"/>
    <w:uiPriority w:val="99"/>
    <w:semiHidden/>
    <w:unhideWhenUsed/>
    <w:rsid w:val="001F1CEF"/>
    <w:rPr>
      <w:sz w:val="18"/>
      <w:szCs w:val="18"/>
    </w:rPr>
  </w:style>
  <w:style w:type="paragraph" w:styleId="Textocomentario">
    <w:name w:val="annotation text"/>
    <w:basedOn w:val="Normal"/>
    <w:link w:val="TextocomentarioCar"/>
    <w:uiPriority w:val="99"/>
    <w:unhideWhenUsed/>
    <w:rsid w:val="001F1CEF"/>
  </w:style>
  <w:style w:type="character" w:customStyle="1" w:styleId="TextocomentarioCar">
    <w:name w:val="Texto comentario Car"/>
    <w:basedOn w:val="Fuentedeprrafopredeter"/>
    <w:link w:val="Textocomentario"/>
    <w:uiPriority w:val="99"/>
    <w:rsid w:val="001F1CEF"/>
  </w:style>
  <w:style w:type="paragraph" w:styleId="Asuntodelcomentario">
    <w:name w:val="annotation subject"/>
    <w:basedOn w:val="Textocomentario"/>
    <w:next w:val="Textocomentario"/>
    <w:link w:val="AsuntodelcomentarioCar"/>
    <w:uiPriority w:val="99"/>
    <w:semiHidden/>
    <w:unhideWhenUsed/>
    <w:rsid w:val="001F1CEF"/>
    <w:rPr>
      <w:b/>
      <w:bCs/>
      <w:sz w:val="20"/>
      <w:szCs w:val="20"/>
    </w:rPr>
  </w:style>
  <w:style w:type="character" w:customStyle="1" w:styleId="AsuntodelcomentarioCar">
    <w:name w:val="Asunto del comentario Car"/>
    <w:basedOn w:val="TextocomentarioCar"/>
    <w:link w:val="Asuntodelcomentario"/>
    <w:uiPriority w:val="99"/>
    <w:semiHidden/>
    <w:rsid w:val="001F1CEF"/>
    <w:rPr>
      <w:b/>
      <w:bCs/>
      <w:sz w:val="20"/>
      <w:szCs w:val="20"/>
    </w:rPr>
  </w:style>
  <w:style w:type="paragraph" w:customStyle="1" w:styleId="footnotedescription">
    <w:name w:val="footnote description"/>
    <w:next w:val="Normal"/>
    <w:link w:val="footnotedescriptionChar"/>
    <w:hidden/>
    <w:rsid w:val="00F73EFC"/>
    <w:pPr>
      <w:spacing w:line="259" w:lineRule="auto"/>
    </w:pPr>
    <w:rPr>
      <w:rFonts w:ascii="Century Gothic" w:eastAsia="Century Gothic" w:hAnsi="Century Gothic" w:cs="Century Gothic"/>
      <w:color w:val="000000"/>
      <w:sz w:val="18"/>
      <w:szCs w:val="22"/>
      <w:lang w:val="es-CO" w:eastAsia="es-CO"/>
    </w:rPr>
  </w:style>
  <w:style w:type="character" w:customStyle="1" w:styleId="footnotedescriptionChar">
    <w:name w:val="footnote description Char"/>
    <w:link w:val="footnotedescription"/>
    <w:rsid w:val="00F73EFC"/>
    <w:rPr>
      <w:rFonts w:ascii="Century Gothic" w:eastAsia="Century Gothic" w:hAnsi="Century Gothic" w:cs="Century Gothic"/>
      <w:color w:val="000000"/>
      <w:sz w:val="18"/>
      <w:szCs w:val="22"/>
      <w:lang w:val="es-CO" w:eastAsia="es-CO"/>
    </w:rPr>
  </w:style>
  <w:style w:type="character" w:customStyle="1" w:styleId="footnotemark">
    <w:name w:val="footnote mark"/>
    <w:hidden/>
    <w:rsid w:val="00F73EFC"/>
    <w:rPr>
      <w:rFonts w:ascii="Times New Roman" w:eastAsia="Times New Roman" w:hAnsi="Times New Roman" w:cs="Times New Roman"/>
      <w:color w:val="000000"/>
      <w:sz w:val="25"/>
      <w:vertAlign w:val="superscript"/>
    </w:rPr>
  </w:style>
  <w:style w:type="table" w:customStyle="1" w:styleId="TableGrid">
    <w:name w:val="TableGrid"/>
    <w:rsid w:val="00D77E5D"/>
    <w:rPr>
      <w:sz w:val="22"/>
      <w:szCs w:val="22"/>
      <w:lang w:val="es-CO" w:eastAsia="es-CO"/>
    </w:rPr>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B86932"/>
    <w:rPr>
      <w:rFonts w:ascii="Arial" w:eastAsiaTheme="majorEastAsia" w:hAnsi="Arial" w:cs="Arial"/>
    </w:rPr>
  </w:style>
  <w:style w:type="paragraph" w:customStyle="1" w:styleId="textoindependiente21">
    <w:name w:val="textoindependiente21"/>
    <w:basedOn w:val="Normal"/>
    <w:rsid w:val="00A71816"/>
    <w:pPr>
      <w:jc w:val="both"/>
    </w:pPr>
    <w:rPr>
      <w:rFonts w:ascii="Arial" w:eastAsia="Times New Roman" w:hAnsi="Arial" w:cs="Arial"/>
      <w:lang w:val="es-ES"/>
    </w:rPr>
  </w:style>
  <w:style w:type="character" w:styleId="Textoennegrita">
    <w:name w:val="Strong"/>
    <w:basedOn w:val="Fuentedeprrafopredeter"/>
    <w:uiPriority w:val="22"/>
    <w:qFormat/>
    <w:rsid w:val="00E23928"/>
    <w:rPr>
      <w:b/>
      <w:bCs/>
    </w:rPr>
  </w:style>
  <w:style w:type="paragraph" w:styleId="TtuloTDC">
    <w:name w:val="TOC Heading"/>
    <w:basedOn w:val="Ttulo1"/>
    <w:next w:val="Normal"/>
    <w:uiPriority w:val="39"/>
    <w:unhideWhenUsed/>
    <w:qFormat/>
    <w:rsid w:val="00B86932"/>
    <w:pP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es-ES"/>
    </w:rPr>
  </w:style>
  <w:style w:type="paragraph" w:styleId="TDC1">
    <w:name w:val="toc 1"/>
    <w:basedOn w:val="Normal"/>
    <w:next w:val="Normal"/>
    <w:autoRedefine/>
    <w:uiPriority w:val="39"/>
    <w:unhideWhenUsed/>
    <w:rsid w:val="00B86932"/>
    <w:pPr>
      <w:spacing w:before="120"/>
    </w:pPr>
    <w:rPr>
      <w:b/>
    </w:rPr>
  </w:style>
  <w:style w:type="paragraph" w:styleId="TDC2">
    <w:name w:val="toc 2"/>
    <w:basedOn w:val="Normal"/>
    <w:next w:val="Normal"/>
    <w:autoRedefine/>
    <w:uiPriority w:val="39"/>
    <w:unhideWhenUsed/>
    <w:rsid w:val="00B86932"/>
    <w:pPr>
      <w:ind w:left="240"/>
    </w:pPr>
    <w:rPr>
      <w:b/>
      <w:sz w:val="22"/>
      <w:szCs w:val="22"/>
    </w:rPr>
  </w:style>
  <w:style w:type="paragraph" w:styleId="TDC3">
    <w:name w:val="toc 3"/>
    <w:basedOn w:val="Normal"/>
    <w:next w:val="Normal"/>
    <w:autoRedefine/>
    <w:uiPriority w:val="39"/>
    <w:unhideWhenUsed/>
    <w:rsid w:val="00B86932"/>
    <w:pPr>
      <w:ind w:left="480"/>
    </w:pPr>
    <w:rPr>
      <w:sz w:val="22"/>
      <w:szCs w:val="22"/>
    </w:rPr>
  </w:style>
  <w:style w:type="paragraph" w:styleId="TDC4">
    <w:name w:val="toc 4"/>
    <w:basedOn w:val="Normal"/>
    <w:next w:val="Normal"/>
    <w:autoRedefine/>
    <w:uiPriority w:val="39"/>
    <w:semiHidden/>
    <w:unhideWhenUsed/>
    <w:rsid w:val="00B86932"/>
    <w:pPr>
      <w:ind w:left="720"/>
    </w:pPr>
    <w:rPr>
      <w:sz w:val="20"/>
      <w:szCs w:val="20"/>
    </w:rPr>
  </w:style>
  <w:style w:type="paragraph" w:styleId="TDC5">
    <w:name w:val="toc 5"/>
    <w:basedOn w:val="Normal"/>
    <w:next w:val="Normal"/>
    <w:autoRedefine/>
    <w:uiPriority w:val="39"/>
    <w:semiHidden/>
    <w:unhideWhenUsed/>
    <w:rsid w:val="00B86932"/>
    <w:pPr>
      <w:ind w:left="960"/>
    </w:pPr>
    <w:rPr>
      <w:sz w:val="20"/>
      <w:szCs w:val="20"/>
    </w:rPr>
  </w:style>
  <w:style w:type="paragraph" w:styleId="TDC6">
    <w:name w:val="toc 6"/>
    <w:basedOn w:val="Normal"/>
    <w:next w:val="Normal"/>
    <w:autoRedefine/>
    <w:uiPriority w:val="39"/>
    <w:semiHidden/>
    <w:unhideWhenUsed/>
    <w:rsid w:val="00B86932"/>
    <w:pPr>
      <w:ind w:left="1200"/>
    </w:pPr>
    <w:rPr>
      <w:sz w:val="20"/>
      <w:szCs w:val="20"/>
    </w:rPr>
  </w:style>
  <w:style w:type="paragraph" w:styleId="TDC7">
    <w:name w:val="toc 7"/>
    <w:basedOn w:val="Normal"/>
    <w:next w:val="Normal"/>
    <w:autoRedefine/>
    <w:uiPriority w:val="39"/>
    <w:semiHidden/>
    <w:unhideWhenUsed/>
    <w:rsid w:val="00B86932"/>
    <w:pPr>
      <w:ind w:left="1440"/>
    </w:pPr>
    <w:rPr>
      <w:sz w:val="20"/>
      <w:szCs w:val="20"/>
    </w:rPr>
  </w:style>
  <w:style w:type="paragraph" w:styleId="TDC8">
    <w:name w:val="toc 8"/>
    <w:basedOn w:val="Normal"/>
    <w:next w:val="Normal"/>
    <w:autoRedefine/>
    <w:uiPriority w:val="39"/>
    <w:semiHidden/>
    <w:unhideWhenUsed/>
    <w:rsid w:val="00B86932"/>
    <w:pPr>
      <w:ind w:left="1680"/>
    </w:pPr>
    <w:rPr>
      <w:sz w:val="20"/>
      <w:szCs w:val="20"/>
    </w:rPr>
  </w:style>
  <w:style w:type="paragraph" w:styleId="TDC9">
    <w:name w:val="toc 9"/>
    <w:basedOn w:val="Normal"/>
    <w:next w:val="Normal"/>
    <w:autoRedefine/>
    <w:uiPriority w:val="39"/>
    <w:semiHidden/>
    <w:unhideWhenUsed/>
    <w:rsid w:val="00B86932"/>
    <w:pPr>
      <w:ind w:left="1920"/>
    </w:pPr>
    <w:rPr>
      <w:sz w:val="20"/>
      <w:szCs w:val="20"/>
    </w:rPr>
  </w:style>
  <w:style w:type="table" w:styleId="Sombreadoclaro-nfasis1">
    <w:name w:val="Light Shading Accent 1"/>
    <w:basedOn w:val="Tablanormal"/>
    <w:uiPriority w:val="60"/>
    <w:rsid w:val="00F717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C041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F528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A96D66"/>
    <w:rPr>
      <w:color w:val="800080" w:themeColor="followedHyperlink"/>
      <w:u w:val="single"/>
    </w:rPr>
  </w:style>
  <w:style w:type="paragraph" w:styleId="Sinespaciado">
    <w:name w:val="No Spacing"/>
    <w:link w:val="SinespaciadoCar"/>
    <w:uiPriority w:val="1"/>
    <w:qFormat/>
    <w:rsid w:val="006E32C7"/>
    <w:rPr>
      <w:sz w:val="22"/>
      <w:szCs w:val="22"/>
      <w:lang w:val="es-CO" w:eastAsia="es-CO"/>
    </w:rPr>
  </w:style>
  <w:style w:type="character" w:customStyle="1" w:styleId="SinespaciadoCar">
    <w:name w:val="Sin espaciado Car"/>
    <w:basedOn w:val="Fuentedeprrafopredeter"/>
    <w:link w:val="Sinespaciado"/>
    <w:uiPriority w:val="1"/>
    <w:rsid w:val="006E32C7"/>
    <w:rPr>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908">
      <w:bodyDiv w:val="1"/>
      <w:marLeft w:val="0"/>
      <w:marRight w:val="0"/>
      <w:marTop w:val="0"/>
      <w:marBottom w:val="0"/>
      <w:divBdr>
        <w:top w:val="none" w:sz="0" w:space="0" w:color="auto"/>
        <w:left w:val="none" w:sz="0" w:space="0" w:color="auto"/>
        <w:bottom w:val="none" w:sz="0" w:space="0" w:color="auto"/>
        <w:right w:val="none" w:sz="0" w:space="0" w:color="auto"/>
      </w:divBdr>
    </w:div>
    <w:div w:id="198082304">
      <w:bodyDiv w:val="1"/>
      <w:marLeft w:val="0"/>
      <w:marRight w:val="0"/>
      <w:marTop w:val="0"/>
      <w:marBottom w:val="0"/>
      <w:divBdr>
        <w:top w:val="none" w:sz="0" w:space="0" w:color="auto"/>
        <w:left w:val="none" w:sz="0" w:space="0" w:color="auto"/>
        <w:bottom w:val="none" w:sz="0" w:space="0" w:color="auto"/>
        <w:right w:val="none" w:sz="0" w:space="0" w:color="auto"/>
      </w:divBdr>
      <w:divsChild>
        <w:div w:id="5403497">
          <w:marLeft w:val="446"/>
          <w:marRight w:val="0"/>
          <w:marTop w:val="0"/>
          <w:marBottom w:val="0"/>
          <w:divBdr>
            <w:top w:val="none" w:sz="0" w:space="0" w:color="auto"/>
            <w:left w:val="none" w:sz="0" w:space="0" w:color="auto"/>
            <w:bottom w:val="none" w:sz="0" w:space="0" w:color="auto"/>
            <w:right w:val="none" w:sz="0" w:space="0" w:color="auto"/>
          </w:divBdr>
        </w:div>
        <w:div w:id="296030307">
          <w:marLeft w:val="446"/>
          <w:marRight w:val="0"/>
          <w:marTop w:val="0"/>
          <w:marBottom w:val="0"/>
          <w:divBdr>
            <w:top w:val="none" w:sz="0" w:space="0" w:color="auto"/>
            <w:left w:val="none" w:sz="0" w:space="0" w:color="auto"/>
            <w:bottom w:val="none" w:sz="0" w:space="0" w:color="auto"/>
            <w:right w:val="none" w:sz="0" w:space="0" w:color="auto"/>
          </w:divBdr>
        </w:div>
        <w:div w:id="877202465">
          <w:marLeft w:val="446"/>
          <w:marRight w:val="0"/>
          <w:marTop w:val="0"/>
          <w:marBottom w:val="0"/>
          <w:divBdr>
            <w:top w:val="none" w:sz="0" w:space="0" w:color="auto"/>
            <w:left w:val="none" w:sz="0" w:space="0" w:color="auto"/>
            <w:bottom w:val="none" w:sz="0" w:space="0" w:color="auto"/>
            <w:right w:val="none" w:sz="0" w:space="0" w:color="auto"/>
          </w:divBdr>
        </w:div>
        <w:div w:id="1212884417">
          <w:marLeft w:val="446"/>
          <w:marRight w:val="0"/>
          <w:marTop w:val="0"/>
          <w:marBottom w:val="0"/>
          <w:divBdr>
            <w:top w:val="none" w:sz="0" w:space="0" w:color="auto"/>
            <w:left w:val="none" w:sz="0" w:space="0" w:color="auto"/>
            <w:bottom w:val="none" w:sz="0" w:space="0" w:color="auto"/>
            <w:right w:val="none" w:sz="0" w:space="0" w:color="auto"/>
          </w:divBdr>
        </w:div>
        <w:div w:id="1225531905">
          <w:marLeft w:val="446"/>
          <w:marRight w:val="0"/>
          <w:marTop w:val="0"/>
          <w:marBottom w:val="0"/>
          <w:divBdr>
            <w:top w:val="none" w:sz="0" w:space="0" w:color="auto"/>
            <w:left w:val="none" w:sz="0" w:space="0" w:color="auto"/>
            <w:bottom w:val="none" w:sz="0" w:space="0" w:color="auto"/>
            <w:right w:val="none" w:sz="0" w:space="0" w:color="auto"/>
          </w:divBdr>
        </w:div>
        <w:div w:id="1983803488">
          <w:marLeft w:val="446"/>
          <w:marRight w:val="0"/>
          <w:marTop w:val="0"/>
          <w:marBottom w:val="0"/>
          <w:divBdr>
            <w:top w:val="none" w:sz="0" w:space="0" w:color="auto"/>
            <w:left w:val="none" w:sz="0" w:space="0" w:color="auto"/>
            <w:bottom w:val="none" w:sz="0" w:space="0" w:color="auto"/>
            <w:right w:val="none" w:sz="0" w:space="0" w:color="auto"/>
          </w:divBdr>
        </w:div>
      </w:divsChild>
    </w:div>
    <w:div w:id="280692895">
      <w:bodyDiv w:val="1"/>
      <w:marLeft w:val="0"/>
      <w:marRight w:val="0"/>
      <w:marTop w:val="0"/>
      <w:marBottom w:val="0"/>
      <w:divBdr>
        <w:top w:val="none" w:sz="0" w:space="0" w:color="auto"/>
        <w:left w:val="none" w:sz="0" w:space="0" w:color="auto"/>
        <w:bottom w:val="none" w:sz="0" w:space="0" w:color="auto"/>
        <w:right w:val="none" w:sz="0" w:space="0" w:color="auto"/>
      </w:divBdr>
      <w:divsChild>
        <w:div w:id="134959093">
          <w:marLeft w:val="0"/>
          <w:marRight w:val="0"/>
          <w:marTop w:val="0"/>
          <w:marBottom w:val="0"/>
          <w:divBdr>
            <w:top w:val="none" w:sz="0" w:space="0" w:color="auto"/>
            <w:left w:val="none" w:sz="0" w:space="0" w:color="auto"/>
            <w:bottom w:val="none" w:sz="0" w:space="0" w:color="auto"/>
            <w:right w:val="none" w:sz="0" w:space="0" w:color="auto"/>
          </w:divBdr>
        </w:div>
        <w:div w:id="344329778">
          <w:marLeft w:val="0"/>
          <w:marRight w:val="0"/>
          <w:marTop w:val="0"/>
          <w:marBottom w:val="0"/>
          <w:divBdr>
            <w:top w:val="none" w:sz="0" w:space="0" w:color="auto"/>
            <w:left w:val="none" w:sz="0" w:space="0" w:color="auto"/>
            <w:bottom w:val="none" w:sz="0" w:space="0" w:color="auto"/>
            <w:right w:val="none" w:sz="0" w:space="0" w:color="auto"/>
          </w:divBdr>
        </w:div>
        <w:div w:id="515464377">
          <w:marLeft w:val="0"/>
          <w:marRight w:val="0"/>
          <w:marTop w:val="0"/>
          <w:marBottom w:val="0"/>
          <w:divBdr>
            <w:top w:val="none" w:sz="0" w:space="0" w:color="auto"/>
            <w:left w:val="none" w:sz="0" w:space="0" w:color="auto"/>
            <w:bottom w:val="none" w:sz="0" w:space="0" w:color="auto"/>
            <w:right w:val="none" w:sz="0" w:space="0" w:color="auto"/>
          </w:divBdr>
        </w:div>
        <w:div w:id="578906228">
          <w:marLeft w:val="0"/>
          <w:marRight w:val="0"/>
          <w:marTop w:val="0"/>
          <w:marBottom w:val="0"/>
          <w:divBdr>
            <w:top w:val="none" w:sz="0" w:space="0" w:color="auto"/>
            <w:left w:val="none" w:sz="0" w:space="0" w:color="auto"/>
            <w:bottom w:val="none" w:sz="0" w:space="0" w:color="auto"/>
            <w:right w:val="none" w:sz="0" w:space="0" w:color="auto"/>
          </w:divBdr>
        </w:div>
        <w:div w:id="767236443">
          <w:marLeft w:val="0"/>
          <w:marRight w:val="0"/>
          <w:marTop w:val="0"/>
          <w:marBottom w:val="0"/>
          <w:divBdr>
            <w:top w:val="none" w:sz="0" w:space="0" w:color="auto"/>
            <w:left w:val="none" w:sz="0" w:space="0" w:color="auto"/>
            <w:bottom w:val="none" w:sz="0" w:space="0" w:color="auto"/>
            <w:right w:val="none" w:sz="0" w:space="0" w:color="auto"/>
          </w:divBdr>
        </w:div>
        <w:div w:id="943078224">
          <w:marLeft w:val="0"/>
          <w:marRight w:val="0"/>
          <w:marTop w:val="0"/>
          <w:marBottom w:val="0"/>
          <w:divBdr>
            <w:top w:val="none" w:sz="0" w:space="0" w:color="auto"/>
            <w:left w:val="none" w:sz="0" w:space="0" w:color="auto"/>
            <w:bottom w:val="none" w:sz="0" w:space="0" w:color="auto"/>
            <w:right w:val="none" w:sz="0" w:space="0" w:color="auto"/>
          </w:divBdr>
        </w:div>
        <w:div w:id="977763958">
          <w:marLeft w:val="0"/>
          <w:marRight w:val="0"/>
          <w:marTop w:val="0"/>
          <w:marBottom w:val="0"/>
          <w:divBdr>
            <w:top w:val="none" w:sz="0" w:space="0" w:color="auto"/>
            <w:left w:val="none" w:sz="0" w:space="0" w:color="auto"/>
            <w:bottom w:val="none" w:sz="0" w:space="0" w:color="auto"/>
            <w:right w:val="none" w:sz="0" w:space="0" w:color="auto"/>
          </w:divBdr>
        </w:div>
        <w:div w:id="1077283676">
          <w:marLeft w:val="0"/>
          <w:marRight w:val="0"/>
          <w:marTop w:val="0"/>
          <w:marBottom w:val="0"/>
          <w:divBdr>
            <w:top w:val="none" w:sz="0" w:space="0" w:color="auto"/>
            <w:left w:val="none" w:sz="0" w:space="0" w:color="auto"/>
            <w:bottom w:val="none" w:sz="0" w:space="0" w:color="auto"/>
            <w:right w:val="none" w:sz="0" w:space="0" w:color="auto"/>
          </w:divBdr>
        </w:div>
        <w:div w:id="1226262638">
          <w:marLeft w:val="0"/>
          <w:marRight w:val="0"/>
          <w:marTop w:val="0"/>
          <w:marBottom w:val="0"/>
          <w:divBdr>
            <w:top w:val="none" w:sz="0" w:space="0" w:color="auto"/>
            <w:left w:val="none" w:sz="0" w:space="0" w:color="auto"/>
            <w:bottom w:val="none" w:sz="0" w:space="0" w:color="auto"/>
            <w:right w:val="none" w:sz="0" w:space="0" w:color="auto"/>
          </w:divBdr>
        </w:div>
        <w:div w:id="1253199370">
          <w:marLeft w:val="0"/>
          <w:marRight w:val="0"/>
          <w:marTop w:val="0"/>
          <w:marBottom w:val="0"/>
          <w:divBdr>
            <w:top w:val="none" w:sz="0" w:space="0" w:color="auto"/>
            <w:left w:val="none" w:sz="0" w:space="0" w:color="auto"/>
            <w:bottom w:val="none" w:sz="0" w:space="0" w:color="auto"/>
            <w:right w:val="none" w:sz="0" w:space="0" w:color="auto"/>
          </w:divBdr>
        </w:div>
        <w:div w:id="1280648957">
          <w:marLeft w:val="0"/>
          <w:marRight w:val="0"/>
          <w:marTop w:val="0"/>
          <w:marBottom w:val="0"/>
          <w:divBdr>
            <w:top w:val="none" w:sz="0" w:space="0" w:color="auto"/>
            <w:left w:val="none" w:sz="0" w:space="0" w:color="auto"/>
            <w:bottom w:val="none" w:sz="0" w:space="0" w:color="auto"/>
            <w:right w:val="none" w:sz="0" w:space="0" w:color="auto"/>
          </w:divBdr>
        </w:div>
        <w:div w:id="1407339191">
          <w:marLeft w:val="0"/>
          <w:marRight w:val="0"/>
          <w:marTop w:val="0"/>
          <w:marBottom w:val="0"/>
          <w:divBdr>
            <w:top w:val="none" w:sz="0" w:space="0" w:color="auto"/>
            <w:left w:val="none" w:sz="0" w:space="0" w:color="auto"/>
            <w:bottom w:val="none" w:sz="0" w:space="0" w:color="auto"/>
            <w:right w:val="none" w:sz="0" w:space="0" w:color="auto"/>
          </w:divBdr>
        </w:div>
        <w:div w:id="1471632712">
          <w:marLeft w:val="0"/>
          <w:marRight w:val="0"/>
          <w:marTop w:val="0"/>
          <w:marBottom w:val="0"/>
          <w:divBdr>
            <w:top w:val="none" w:sz="0" w:space="0" w:color="auto"/>
            <w:left w:val="none" w:sz="0" w:space="0" w:color="auto"/>
            <w:bottom w:val="none" w:sz="0" w:space="0" w:color="auto"/>
            <w:right w:val="none" w:sz="0" w:space="0" w:color="auto"/>
          </w:divBdr>
        </w:div>
        <w:div w:id="1523713181">
          <w:marLeft w:val="0"/>
          <w:marRight w:val="0"/>
          <w:marTop w:val="0"/>
          <w:marBottom w:val="0"/>
          <w:divBdr>
            <w:top w:val="none" w:sz="0" w:space="0" w:color="auto"/>
            <w:left w:val="none" w:sz="0" w:space="0" w:color="auto"/>
            <w:bottom w:val="none" w:sz="0" w:space="0" w:color="auto"/>
            <w:right w:val="none" w:sz="0" w:space="0" w:color="auto"/>
          </w:divBdr>
        </w:div>
        <w:div w:id="1907571409">
          <w:marLeft w:val="0"/>
          <w:marRight w:val="0"/>
          <w:marTop w:val="0"/>
          <w:marBottom w:val="0"/>
          <w:divBdr>
            <w:top w:val="none" w:sz="0" w:space="0" w:color="auto"/>
            <w:left w:val="none" w:sz="0" w:space="0" w:color="auto"/>
            <w:bottom w:val="none" w:sz="0" w:space="0" w:color="auto"/>
            <w:right w:val="none" w:sz="0" w:space="0" w:color="auto"/>
          </w:divBdr>
        </w:div>
        <w:div w:id="1915387300">
          <w:marLeft w:val="0"/>
          <w:marRight w:val="0"/>
          <w:marTop w:val="0"/>
          <w:marBottom w:val="0"/>
          <w:divBdr>
            <w:top w:val="none" w:sz="0" w:space="0" w:color="auto"/>
            <w:left w:val="none" w:sz="0" w:space="0" w:color="auto"/>
            <w:bottom w:val="none" w:sz="0" w:space="0" w:color="auto"/>
            <w:right w:val="none" w:sz="0" w:space="0" w:color="auto"/>
          </w:divBdr>
        </w:div>
        <w:div w:id="2120954545">
          <w:marLeft w:val="0"/>
          <w:marRight w:val="0"/>
          <w:marTop w:val="0"/>
          <w:marBottom w:val="0"/>
          <w:divBdr>
            <w:top w:val="none" w:sz="0" w:space="0" w:color="auto"/>
            <w:left w:val="none" w:sz="0" w:space="0" w:color="auto"/>
            <w:bottom w:val="none" w:sz="0" w:space="0" w:color="auto"/>
            <w:right w:val="none" w:sz="0" w:space="0" w:color="auto"/>
          </w:divBdr>
        </w:div>
        <w:div w:id="2140999399">
          <w:marLeft w:val="0"/>
          <w:marRight w:val="0"/>
          <w:marTop w:val="0"/>
          <w:marBottom w:val="0"/>
          <w:divBdr>
            <w:top w:val="none" w:sz="0" w:space="0" w:color="auto"/>
            <w:left w:val="none" w:sz="0" w:space="0" w:color="auto"/>
            <w:bottom w:val="none" w:sz="0" w:space="0" w:color="auto"/>
            <w:right w:val="none" w:sz="0" w:space="0" w:color="auto"/>
          </w:divBdr>
        </w:div>
      </w:divsChild>
    </w:div>
    <w:div w:id="361253158">
      <w:bodyDiv w:val="1"/>
      <w:marLeft w:val="0"/>
      <w:marRight w:val="0"/>
      <w:marTop w:val="0"/>
      <w:marBottom w:val="0"/>
      <w:divBdr>
        <w:top w:val="none" w:sz="0" w:space="0" w:color="auto"/>
        <w:left w:val="none" w:sz="0" w:space="0" w:color="auto"/>
        <w:bottom w:val="none" w:sz="0" w:space="0" w:color="auto"/>
        <w:right w:val="none" w:sz="0" w:space="0" w:color="auto"/>
      </w:divBdr>
      <w:divsChild>
        <w:div w:id="442041610">
          <w:marLeft w:val="806"/>
          <w:marRight w:val="0"/>
          <w:marTop w:val="0"/>
          <w:marBottom w:val="227"/>
          <w:divBdr>
            <w:top w:val="none" w:sz="0" w:space="0" w:color="auto"/>
            <w:left w:val="none" w:sz="0" w:space="0" w:color="auto"/>
            <w:bottom w:val="none" w:sz="0" w:space="0" w:color="auto"/>
            <w:right w:val="none" w:sz="0" w:space="0" w:color="auto"/>
          </w:divBdr>
        </w:div>
        <w:div w:id="2026975900">
          <w:marLeft w:val="806"/>
          <w:marRight w:val="0"/>
          <w:marTop w:val="0"/>
          <w:marBottom w:val="227"/>
          <w:divBdr>
            <w:top w:val="none" w:sz="0" w:space="0" w:color="auto"/>
            <w:left w:val="none" w:sz="0" w:space="0" w:color="auto"/>
            <w:bottom w:val="none" w:sz="0" w:space="0" w:color="auto"/>
            <w:right w:val="none" w:sz="0" w:space="0" w:color="auto"/>
          </w:divBdr>
        </w:div>
      </w:divsChild>
    </w:div>
    <w:div w:id="387925123">
      <w:bodyDiv w:val="1"/>
      <w:marLeft w:val="0"/>
      <w:marRight w:val="0"/>
      <w:marTop w:val="0"/>
      <w:marBottom w:val="0"/>
      <w:divBdr>
        <w:top w:val="none" w:sz="0" w:space="0" w:color="auto"/>
        <w:left w:val="none" w:sz="0" w:space="0" w:color="auto"/>
        <w:bottom w:val="none" w:sz="0" w:space="0" w:color="auto"/>
        <w:right w:val="none" w:sz="0" w:space="0" w:color="auto"/>
      </w:divBdr>
    </w:div>
    <w:div w:id="416248742">
      <w:bodyDiv w:val="1"/>
      <w:marLeft w:val="0"/>
      <w:marRight w:val="0"/>
      <w:marTop w:val="0"/>
      <w:marBottom w:val="0"/>
      <w:divBdr>
        <w:top w:val="none" w:sz="0" w:space="0" w:color="auto"/>
        <w:left w:val="none" w:sz="0" w:space="0" w:color="auto"/>
        <w:bottom w:val="none" w:sz="0" w:space="0" w:color="auto"/>
        <w:right w:val="none" w:sz="0" w:space="0" w:color="auto"/>
      </w:divBdr>
    </w:div>
    <w:div w:id="510681785">
      <w:bodyDiv w:val="1"/>
      <w:marLeft w:val="0"/>
      <w:marRight w:val="0"/>
      <w:marTop w:val="0"/>
      <w:marBottom w:val="0"/>
      <w:divBdr>
        <w:top w:val="none" w:sz="0" w:space="0" w:color="auto"/>
        <w:left w:val="none" w:sz="0" w:space="0" w:color="auto"/>
        <w:bottom w:val="none" w:sz="0" w:space="0" w:color="auto"/>
        <w:right w:val="none" w:sz="0" w:space="0" w:color="auto"/>
      </w:divBdr>
    </w:div>
    <w:div w:id="528495018">
      <w:bodyDiv w:val="1"/>
      <w:marLeft w:val="0"/>
      <w:marRight w:val="0"/>
      <w:marTop w:val="0"/>
      <w:marBottom w:val="0"/>
      <w:divBdr>
        <w:top w:val="none" w:sz="0" w:space="0" w:color="auto"/>
        <w:left w:val="none" w:sz="0" w:space="0" w:color="auto"/>
        <w:bottom w:val="none" w:sz="0" w:space="0" w:color="auto"/>
        <w:right w:val="none" w:sz="0" w:space="0" w:color="auto"/>
      </w:divBdr>
      <w:divsChild>
        <w:div w:id="385104644">
          <w:marLeft w:val="0"/>
          <w:marRight w:val="0"/>
          <w:marTop w:val="0"/>
          <w:marBottom w:val="0"/>
          <w:divBdr>
            <w:top w:val="none" w:sz="0" w:space="0" w:color="auto"/>
            <w:left w:val="none" w:sz="0" w:space="0" w:color="auto"/>
            <w:bottom w:val="none" w:sz="0" w:space="0" w:color="auto"/>
            <w:right w:val="none" w:sz="0" w:space="0" w:color="auto"/>
          </w:divBdr>
        </w:div>
        <w:div w:id="556355205">
          <w:marLeft w:val="0"/>
          <w:marRight w:val="0"/>
          <w:marTop w:val="0"/>
          <w:marBottom w:val="0"/>
          <w:divBdr>
            <w:top w:val="none" w:sz="0" w:space="0" w:color="auto"/>
            <w:left w:val="none" w:sz="0" w:space="0" w:color="auto"/>
            <w:bottom w:val="none" w:sz="0" w:space="0" w:color="auto"/>
            <w:right w:val="none" w:sz="0" w:space="0" w:color="auto"/>
          </w:divBdr>
        </w:div>
        <w:div w:id="667951206">
          <w:marLeft w:val="0"/>
          <w:marRight w:val="0"/>
          <w:marTop w:val="0"/>
          <w:marBottom w:val="0"/>
          <w:divBdr>
            <w:top w:val="none" w:sz="0" w:space="0" w:color="auto"/>
            <w:left w:val="none" w:sz="0" w:space="0" w:color="auto"/>
            <w:bottom w:val="none" w:sz="0" w:space="0" w:color="auto"/>
            <w:right w:val="none" w:sz="0" w:space="0" w:color="auto"/>
          </w:divBdr>
        </w:div>
        <w:div w:id="900989449">
          <w:marLeft w:val="0"/>
          <w:marRight w:val="0"/>
          <w:marTop w:val="0"/>
          <w:marBottom w:val="0"/>
          <w:divBdr>
            <w:top w:val="none" w:sz="0" w:space="0" w:color="auto"/>
            <w:left w:val="none" w:sz="0" w:space="0" w:color="auto"/>
            <w:bottom w:val="none" w:sz="0" w:space="0" w:color="auto"/>
            <w:right w:val="none" w:sz="0" w:space="0" w:color="auto"/>
          </w:divBdr>
        </w:div>
        <w:div w:id="1555041433">
          <w:marLeft w:val="0"/>
          <w:marRight w:val="0"/>
          <w:marTop w:val="0"/>
          <w:marBottom w:val="0"/>
          <w:divBdr>
            <w:top w:val="none" w:sz="0" w:space="0" w:color="auto"/>
            <w:left w:val="none" w:sz="0" w:space="0" w:color="auto"/>
            <w:bottom w:val="none" w:sz="0" w:space="0" w:color="auto"/>
            <w:right w:val="none" w:sz="0" w:space="0" w:color="auto"/>
          </w:divBdr>
        </w:div>
        <w:div w:id="1738891362">
          <w:marLeft w:val="0"/>
          <w:marRight w:val="0"/>
          <w:marTop w:val="0"/>
          <w:marBottom w:val="0"/>
          <w:divBdr>
            <w:top w:val="none" w:sz="0" w:space="0" w:color="auto"/>
            <w:left w:val="none" w:sz="0" w:space="0" w:color="auto"/>
            <w:bottom w:val="none" w:sz="0" w:space="0" w:color="auto"/>
            <w:right w:val="none" w:sz="0" w:space="0" w:color="auto"/>
          </w:divBdr>
        </w:div>
        <w:div w:id="1884948044">
          <w:marLeft w:val="0"/>
          <w:marRight w:val="0"/>
          <w:marTop w:val="0"/>
          <w:marBottom w:val="0"/>
          <w:divBdr>
            <w:top w:val="none" w:sz="0" w:space="0" w:color="auto"/>
            <w:left w:val="none" w:sz="0" w:space="0" w:color="auto"/>
            <w:bottom w:val="none" w:sz="0" w:space="0" w:color="auto"/>
            <w:right w:val="none" w:sz="0" w:space="0" w:color="auto"/>
          </w:divBdr>
        </w:div>
      </w:divsChild>
    </w:div>
    <w:div w:id="537552665">
      <w:bodyDiv w:val="1"/>
      <w:marLeft w:val="0"/>
      <w:marRight w:val="0"/>
      <w:marTop w:val="0"/>
      <w:marBottom w:val="0"/>
      <w:divBdr>
        <w:top w:val="none" w:sz="0" w:space="0" w:color="auto"/>
        <w:left w:val="none" w:sz="0" w:space="0" w:color="auto"/>
        <w:bottom w:val="none" w:sz="0" w:space="0" w:color="auto"/>
        <w:right w:val="none" w:sz="0" w:space="0" w:color="auto"/>
      </w:divBdr>
    </w:div>
    <w:div w:id="546989055">
      <w:bodyDiv w:val="1"/>
      <w:marLeft w:val="0"/>
      <w:marRight w:val="0"/>
      <w:marTop w:val="0"/>
      <w:marBottom w:val="0"/>
      <w:divBdr>
        <w:top w:val="none" w:sz="0" w:space="0" w:color="auto"/>
        <w:left w:val="none" w:sz="0" w:space="0" w:color="auto"/>
        <w:bottom w:val="none" w:sz="0" w:space="0" w:color="auto"/>
        <w:right w:val="none" w:sz="0" w:space="0" w:color="auto"/>
      </w:divBdr>
    </w:div>
    <w:div w:id="561915742">
      <w:bodyDiv w:val="1"/>
      <w:marLeft w:val="0"/>
      <w:marRight w:val="0"/>
      <w:marTop w:val="0"/>
      <w:marBottom w:val="0"/>
      <w:divBdr>
        <w:top w:val="none" w:sz="0" w:space="0" w:color="auto"/>
        <w:left w:val="none" w:sz="0" w:space="0" w:color="auto"/>
        <w:bottom w:val="none" w:sz="0" w:space="0" w:color="auto"/>
        <w:right w:val="none" w:sz="0" w:space="0" w:color="auto"/>
      </w:divBdr>
      <w:divsChild>
        <w:div w:id="1608074943">
          <w:marLeft w:val="547"/>
          <w:marRight w:val="0"/>
          <w:marTop w:val="0"/>
          <w:marBottom w:val="0"/>
          <w:divBdr>
            <w:top w:val="none" w:sz="0" w:space="0" w:color="auto"/>
            <w:left w:val="none" w:sz="0" w:space="0" w:color="auto"/>
            <w:bottom w:val="none" w:sz="0" w:space="0" w:color="auto"/>
            <w:right w:val="none" w:sz="0" w:space="0" w:color="auto"/>
          </w:divBdr>
        </w:div>
        <w:div w:id="1724212903">
          <w:marLeft w:val="547"/>
          <w:marRight w:val="0"/>
          <w:marTop w:val="0"/>
          <w:marBottom w:val="0"/>
          <w:divBdr>
            <w:top w:val="none" w:sz="0" w:space="0" w:color="auto"/>
            <w:left w:val="none" w:sz="0" w:space="0" w:color="auto"/>
            <w:bottom w:val="none" w:sz="0" w:space="0" w:color="auto"/>
            <w:right w:val="none" w:sz="0" w:space="0" w:color="auto"/>
          </w:divBdr>
        </w:div>
        <w:div w:id="2080129553">
          <w:marLeft w:val="547"/>
          <w:marRight w:val="0"/>
          <w:marTop w:val="0"/>
          <w:marBottom w:val="0"/>
          <w:divBdr>
            <w:top w:val="none" w:sz="0" w:space="0" w:color="auto"/>
            <w:left w:val="none" w:sz="0" w:space="0" w:color="auto"/>
            <w:bottom w:val="none" w:sz="0" w:space="0" w:color="auto"/>
            <w:right w:val="none" w:sz="0" w:space="0" w:color="auto"/>
          </w:divBdr>
        </w:div>
      </w:divsChild>
    </w:div>
    <w:div w:id="597298377">
      <w:bodyDiv w:val="1"/>
      <w:marLeft w:val="0"/>
      <w:marRight w:val="0"/>
      <w:marTop w:val="0"/>
      <w:marBottom w:val="0"/>
      <w:divBdr>
        <w:top w:val="none" w:sz="0" w:space="0" w:color="auto"/>
        <w:left w:val="none" w:sz="0" w:space="0" w:color="auto"/>
        <w:bottom w:val="none" w:sz="0" w:space="0" w:color="auto"/>
        <w:right w:val="none" w:sz="0" w:space="0" w:color="auto"/>
      </w:divBdr>
    </w:div>
    <w:div w:id="618803465">
      <w:bodyDiv w:val="1"/>
      <w:marLeft w:val="0"/>
      <w:marRight w:val="0"/>
      <w:marTop w:val="0"/>
      <w:marBottom w:val="0"/>
      <w:divBdr>
        <w:top w:val="none" w:sz="0" w:space="0" w:color="auto"/>
        <w:left w:val="none" w:sz="0" w:space="0" w:color="auto"/>
        <w:bottom w:val="none" w:sz="0" w:space="0" w:color="auto"/>
        <w:right w:val="none" w:sz="0" w:space="0" w:color="auto"/>
      </w:divBdr>
    </w:div>
    <w:div w:id="629439350">
      <w:bodyDiv w:val="1"/>
      <w:marLeft w:val="0"/>
      <w:marRight w:val="0"/>
      <w:marTop w:val="0"/>
      <w:marBottom w:val="0"/>
      <w:divBdr>
        <w:top w:val="none" w:sz="0" w:space="0" w:color="auto"/>
        <w:left w:val="none" w:sz="0" w:space="0" w:color="auto"/>
        <w:bottom w:val="none" w:sz="0" w:space="0" w:color="auto"/>
        <w:right w:val="none" w:sz="0" w:space="0" w:color="auto"/>
      </w:divBdr>
      <w:divsChild>
        <w:div w:id="406340666">
          <w:marLeft w:val="1987"/>
          <w:marRight w:val="0"/>
          <w:marTop w:val="0"/>
          <w:marBottom w:val="168"/>
          <w:divBdr>
            <w:top w:val="none" w:sz="0" w:space="0" w:color="auto"/>
            <w:left w:val="none" w:sz="0" w:space="0" w:color="auto"/>
            <w:bottom w:val="none" w:sz="0" w:space="0" w:color="auto"/>
            <w:right w:val="none" w:sz="0" w:space="0" w:color="auto"/>
          </w:divBdr>
        </w:div>
        <w:div w:id="1844930315">
          <w:marLeft w:val="1987"/>
          <w:marRight w:val="0"/>
          <w:marTop w:val="0"/>
          <w:marBottom w:val="168"/>
          <w:divBdr>
            <w:top w:val="none" w:sz="0" w:space="0" w:color="auto"/>
            <w:left w:val="none" w:sz="0" w:space="0" w:color="auto"/>
            <w:bottom w:val="none" w:sz="0" w:space="0" w:color="auto"/>
            <w:right w:val="none" w:sz="0" w:space="0" w:color="auto"/>
          </w:divBdr>
        </w:div>
        <w:div w:id="725495548">
          <w:marLeft w:val="1987"/>
          <w:marRight w:val="0"/>
          <w:marTop w:val="0"/>
          <w:marBottom w:val="168"/>
          <w:divBdr>
            <w:top w:val="none" w:sz="0" w:space="0" w:color="auto"/>
            <w:left w:val="none" w:sz="0" w:space="0" w:color="auto"/>
            <w:bottom w:val="none" w:sz="0" w:space="0" w:color="auto"/>
            <w:right w:val="none" w:sz="0" w:space="0" w:color="auto"/>
          </w:divBdr>
        </w:div>
        <w:div w:id="563029179">
          <w:marLeft w:val="1987"/>
          <w:marRight w:val="0"/>
          <w:marTop w:val="0"/>
          <w:marBottom w:val="168"/>
          <w:divBdr>
            <w:top w:val="none" w:sz="0" w:space="0" w:color="auto"/>
            <w:left w:val="none" w:sz="0" w:space="0" w:color="auto"/>
            <w:bottom w:val="none" w:sz="0" w:space="0" w:color="auto"/>
            <w:right w:val="none" w:sz="0" w:space="0" w:color="auto"/>
          </w:divBdr>
        </w:div>
      </w:divsChild>
    </w:div>
    <w:div w:id="864441361">
      <w:bodyDiv w:val="1"/>
      <w:marLeft w:val="0"/>
      <w:marRight w:val="0"/>
      <w:marTop w:val="0"/>
      <w:marBottom w:val="0"/>
      <w:divBdr>
        <w:top w:val="none" w:sz="0" w:space="0" w:color="auto"/>
        <w:left w:val="none" w:sz="0" w:space="0" w:color="auto"/>
        <w:bottom w:val="none" w:sz="0" w:space="0" w:color="auto"/>
        <w:right w:val="none" w:sz="0" w:space="0" w:color="auto"/>
      </w:divBdr>
      <w:divsChild>
        <w:div w:id="222643444">
          <w:marLeft w:val="0"/>
          <w:marRight w:val="0"/>
          <w:marTop w:val="0"/>
          <w:marBottom w:val="0"/>
          <w:divBdr>
            <w:top w:val="none" w:sz="0" w:space="0" w:color="auto"/>
            <w:left w:val="none" w:sz="0" w:space="0" w:color="auto"/>
            <w:bottom w:val="none" w:sz="0" w:space="0" w:color="auto"/>
            <w:right w:val="none" w:sz="0" w:space="0" w:color="auto"/>
          </w:divBdr>
        </w:div>
        <w:div w:id="1706518977">
          <w:marLeft w:val="0"/>
          <w:marRight w:val="0"/>
          <w:marTop w:val="0"/>
          <w:marBottom w:val="0"/>
          <w:divBdr>
            <w:top w:val="none" w:sz="0" w:space="0" w:color="auto"/>
            <w:left w:val="none" w:sz="0" w:space="0" w:color="auto"/>
            <w:bottom w:val="none" w:sz="0" w:space="0" w:color="auto"/>
            <w:right w:val="none" w:sz="0" w:space="0" w:color="auto"/>
          </w:divBdr>
        </w:div>
        <w:div w:id="1846509519">
          <w:marLeft w:val="0"/>
          <w:marRight w:val="0"/>
          <w:marTop w:val="0"/>
          <w:marBottom w:val="0"/>
          <w:divBdr>
            <w:top w:val="none" w:sz="0" w:space="0" w:color="auto"/>
            <w:left w:val="none" w:sz="0" w:space="0" w:color="auto"/>
            <w:bottom w:val="none" w:sz="0" w:space="0" w:color="auto"/>
            <w:right w:val="none" w:sz="0" w:space="0" w:color="auto"/>
          </w:divBdr>
        </w:div>
      </w:divsChild>
    </w:div>
    <w:div w:id="972098513">
      <w:bodyDiv w:val="1"/>
      <w:marLeft w:val="0"/>
      <w:marRight w:val="0"/>
      <w:marTop w:val="0"/>
      <w:marBottom w:val="0"/>
      <w:divBdr>
        <w:top w:val="none" w:sz="0" w:space="0" w:color="auto"/>
        <w:left w:val="none" w:sz="0" w:space="0" w:color="auto"/>
        <w:bottom w:val="none" w:sz="0" w:space="0" w:color="auto"/>
        <w:right w:val="none" w:sz="0" w:space="0" w:color="auto"/>
      </w:divBdr>
      <w:divsChild>
        <w:div w:id="245652690">
          <w:marLeft w:val="547"/>
          <w:marRight w:val="0"/>
          <w:marTop w:val="0"/>
          <w:marBottom w:val="0"/>
          <w:divBdr>
            <w:top w:val="none" w:sz="0" w:space="0" w:color="auto"/>
            <w:left w:val="none" w:sz="0" w:space="0" w:color="auto"/>
            <w:bottom w:val="none" w:sz="0" w:space="0" w:color="auto"/>
            <w:right w:val="none" w:sz="0" w:space="0" w:color="auto"/>
          </w:divBdr>
        </w:div>
        <w:div w:id="934558235">
          <w:marLeft w:val="547"/>
          <w:marRight w:val="0"/>
          <w:marTop w:val="0"/>
          <w:marBottom w:val="0"/>
          <w:divBdr>
            <w:top w:val="none" w:sz="0" w:space="0" w:color="auto"/>
            <w:left w:val="none" w:sz="0" w:space="0" w:color="auto"/>
            <w:bottom w:val="none" w:sz="0" w:space="0" w:color="auto"/>
            <w:right w:val="none" w:sz="0" w:space="0" w:color="auto"/>
          </w:divBdr>
        </w:div>
        <w:div w:id="1843425032">
          <w:marLeft w:val="547"/>
          <w:marRight w:val="0"/>
          <w:marTop w:val="0"/>
          <w:marBottom w:val="0"/>
          <w:divBdr>
            <w:top w:val="none" w:sz="0" w:space="0" w:color="auto"/>
            <w:left w:val="none" w:sz="0" w:space="0" w:color="auto"/>
            <w:bottom w:val="none" w:sz="0" w:space="0" w:color="auto"/>
            <w:right w:val="none" w:sz="0" w:space="0" w:color="auto"/>
          </w:divBdr>
        </w:div>
        <w:div w:id="2116902956">
          <w:marLeft w:val="547"/>
          <w:marRight w:val="0"/>
          <w:marTop w:val="0"/>
          <w:marBottom w:val="0"/>
          <w:divBdr>
            <w:top w:val="none" w:sz="0" w:space="0" w:color="auto"/>
            <w:left w:val="none" w:sz="0" w:space="0" w:color="auto"/>
            <w:bottom w:val="none" w:sz="0" w:space="0" w:color="auto"/>
            <w:right w:val="none" w:sz="0" w:space="0" w:color="auto"/>
          </w:divBdr>
        </w:div>
      </w:divsChild>
    </w:div>
    <w:div w:id="988094534">
      <w:bodyDiv w:val="1"/>
      <w:marLeft w:val="0"/>
      <w:marRight w:val="0"/>
      <w:marTop w:val="0"/>
      <w:marBottom w:val="0"/>
      <w:divBdr>
        <w:top w:val="none" w:sz="0" w:space="0" w:color="auto"/>
        <w:left w:val="none" w:sz="0" w:space="0" w:color="auto"/>
        <w:bottom w:val="none" w:sz="0" w:space="0" w:color="auto"/>
        <w:right w:val="none" w:sz="0" w:space="0" w:color="auto"/>
      </w:divBdr>
      <w:divsChild>
        <w:div w:id="198785267">
          <w:marLeft w:val="0"/>
          <w:marRight w:val="0"/>
          <w:marTop w:val="0"/>
          <w:marBottom w:val="0"/>
          <w:divBdr>
            <w:top w:val="none" w:sz="0" w:space="0" w:color="auto"/>
            <w:left w:val="none" w:sz="0" w:space="0" w:color="auto"/>
            <w:bottom w:val="none" w:sz="0" w:space="0" w:color="auto"/>
            <w:right w:val="none" w:sz="0" w:space="0" w:color="auto"/>
          </w:divBdr>
        </w:div>
        <w:div w:id="209533429">
          <w:marLeft w:val="0"/>
          <w:marRight w:val="0"/>
          <w:marTop w:val="0"/>
          <w:marBottom w:val="0"/>
          <w:divBdr>
            <w:top w:val="none" w:sz="0" w:space="0" w:color="auto"/>
            <w:left w:val="none" w:sz="0" w:space="0" w:color="auto"/>
            <w:bottom w:val="none" w:sz="0" w:space="0" w:color="auto"/>
            <w:right w:val="none" w:sz="0" w:space="0" w:color="auto"/>
          </w:divBdr>
        </w:div>
        <w:div w:id="246381633">
          <w:marLeft w:val="0"/>
          <w:marRight w:val="0"/>
          <w:marTop w:val="0"/>
          <w:marBottom w:val="0"/>
          <w:divBdr>
            <w:top w:val="none" w:sz="0" w:space="0" w:color="auto"/>
            <w:left w:val="none" w:sz="0" w:space="0" w:color="auto"/>
            <w:bottom w:val="none" w:sz="0" w:space="0" w:color="auto"/>
            <w:right w:val="none" w:sz="0" w:space="0" w:color="auto"/>
          </w:divBdr>
        </w:div>
        <w:div w:id="517160433">
          <w:marLeft w:val="0"/>
          <w:marRight w:val="0"/>
          <w:marTop w:val="0"/>
          <w:marBottom w:val="0"/>
          <w:divBdr>
            <w:top w:val="none" w:sz="0" w:space="0" w:color="auto"/>
            <w:left w:val="none" w:sz="0" w:space="0" w:color="auto"/>
            <w:bottom w:val="none" w:sz="0" w:space="0" w:color="auto"/>
            <w:right w:val="none" w:sz="0" w:space="0" w:color="auto"/>
          </w:divBdr>
        </w:div>
        <w:div w:id="558370052">
          <w:marLeft w:val="0"/>
          <w:marRight w:val="0"/>
          <w:marTop w:val="0"/>
          <w:marBottom w:val="0"/>
          <w:divBdr>
            <w:top w:val="none" w:sz="0" w:space="0" w:color="auto"/>
            <w:left w:val="none" w:sz="0" w:space="0" w:color="auto"/>
            <w:bottom w:val="none" w:sz="0" w:space="0" w:color="auto"/>
            <w:right w:val="none" w:sz="0" w:space="0" w:color="auto"/>
          </w:divBdr>
        </w:div>
        <w:div w:id="611792146">
          <w:marLeft w:val="0"/>
          <w:marRight w:val="0"/>
          <w:marTop w:val="0"/>
          <w:marBottom w:val="0"/>
          <w:divBdr>
            <w:top w:val="none" w:sz="0" w:space="0" w:color="auto"/>
            <w:left w:val="none" w:sz="0" w:space="0" w:color="auto"/>
            <w:bottom w:val="none" w:sz="0" w:space="0" w:color="auto"/>
            <w:right w:val="none" w:sz="0" w:space="0" w:color="auto"/>
          </w:divBdr>
        </w:div>
        <w:div w:id="673649597">
          <w:marLeft w:val="0"/>
          <w:marRight w:val="0"/>
          <w:marTop w:val="0"/>
          <w:marBottom w:val="0"/>
          <w:divBdr>
            <w:top w:val="none" w:sz="0" w:space="0" w:color="auto"/>
            <w:left w:val="none" w:sz="0" w:space="0" w:color="auto"/>
            <w:bottom w:val="none" w:sz="0" w:space="0" w:color="auto"/>
            <w:right w:val="none" w:sz="0" w:space="0" w:color="auto"/>
          </w:divBdr>
        </w:div>
        <w:div w:id="768044835">
          <w:marLeft w:val="0"/>
          <w:marRight w:val="0"/>
          <w:marTop w:val="0"/>
          <w:marBottom w:val="0"/>
          <w:divBdr>
            <w:top w:val="none" w:sz="0" w:space="0" w:color="auto"/>
            <w:left w:val="none" w:sz="0" w:space="0" w:color="auto"/>
            <w:bottom w:val="none" w:sz="0" w:space="0" w:color="auto"/>
            <w:right w:val="none" w:sz="0" w:space="0" w:color="auto"/>
          </w:divBdr>
        </w:div>
        <w:div w:id="907959290">
          <w:marLeft w:val="0"/>
          <w:marRight w:val="0"/>
          <w:marTop w:val="0"/>
          <w:marBottom w:val="0"/>
          <w:divBdr>
            <w:top w:val="none" w:sz="0" w:space="0" w:color="auto"/>
            <w:left w:val="none" w:sz="0" w:space="0" w:color="auto"/>
            <w:bottom w:val="none" w:sz="0" w:space="0" w:color="auto"/>
            <w:right w:val="none" w:sz="0" w:space="0" w:color="auto"/>
          </w:divBdr>
        </w:div>
        <w:div w:id="966743170">
          <w:marLeft w:val="0"/>
          <w:marRight w:val="0"/>
          <w:marTop w:val="0"/>
          <w:marBottom w:val="0"/>
          <w:divBdr>
            <w:top w:val="none" w:sz="0" w:space="0" w:color="auto"/>
            <w:left w:val="none" w:sz="0" w:space="0" w:color="auto"/>
            <w:bottom w:val="none" w:sz="0" w:space="0" w:color="auto"/>
            <w:right w:val="none" w:sz="0" w:space="0" w:color="auto"/>
          </w:divBdr>
        </w:div>
        <w:div w:id="1047949668">
          <w:marLeft w:val="0"/>
          <w:marRight w:val="0"/>
          <w:marTop w:val="0"/>
          <w:marBottom w:val="0"/>
          <w:divBdr>
            <w:top w:val="none" w:sz="0" w:space="0" w:color="auto"/>
            <w:left w:val="none" w:sz="0" w:space="0" w:color="auto"/>
            <w:bottom w:val="none" w:sz="0" w:space="0" w:color="auto"/>
            <w:right w:val="none" w:sz="0" w:space="0" w:color="auto"/>
          </w:divBdr>
        </w:div>
        <w:div w:id="1150442504">
          <w:marLeft w:val="0"/>
          <w:marRight w:val="0"/>
          <w:marTop w:val="0"/>
          <w:marBottom w:val="0"/>
          <w:divBdr>
            <w:top w:val="none" w:sz="0" w:space="0" w:color="auto"/>
            <w:left w:val="none" w:sz="0" w:space="0" w:color="auto"/>
            <w:bottom w:val="none" w:sz="0" w:space="0" w:color="auto"/>
            <w:right w:val="none" w:sz="0" w:space="0" w:color="auto"/>
          </w:divBdr>
        </w:div>
        <w:div w:id="1177618729">
          <w:marLeft w:val="0"/>
          <w:marRight w:val="0"/>
          <w:marTop w:val="0"/>
          <w:marBottom w:val="0"/>
          <w:divBdr>
            <w:top w:val="none" w:sz="0" w:space="0" w:color="auto"/>
            <w:left w:val="none" w:sz="0" w:space="0" w:color="auto"/>
            <w:bottom w:val="none" w:sz="0" w:space="0" w:color="auto"/>
            <w:right w:val="none" w:sz="0" w:space="0" w:color="auto"/>
          </w:divBdr>
        </w:div>
        <w:div w:id="1257135823">
          <w:marLeft w:val="0"/>
          <w:marRight w:val="0"/>
          <w:marTop w:val="0"/>
          <w:marBottom w:val="0"/>
          <w:divBdr>
            <w:top w:val="none" w:sz="0" w:space="0" w:color="auto"/>
            <w:left w:val="none" w:sz="0" w:space="0" w:color="auto"/>
            <w:bottom w:val="none" w:sz="0" w:space="0" w:color="auto"/>
            <w:right w:val="none" w:sz="0" w:space="0" w:color="auto"/>
          </w:divBdr>
        </w:div>
        <w:div w:id="1468281919">
          <w:marLeft w:val="0"/>
          <w:marRight w:val="0"/>
          <w:marTop w:val="0"/>
          <w:marBottom w:val="0"/>
          <w:divBdr>
            <w:top w:val="none" w:sz="0" w:space="0" w:color="auto"/>
            <w:left w:val="none" w:sz="0" w:space="0" w:color="auto"/>
            <w:bottom w:val="none" w:sz="0" w:space="0" w:color="auto"/>
            <w:right w:val="none" w:sz="0" w:space="0" w:color="auto"/>
          </w:divBdr>
        </w:div>
        <w:div w:id="1471248772">
          <w:marLeft w:val="0"/>
          <w:marRight w:val="0"/>
          <w:marTop w:val="0"/>
          <w:marBottom w:val="0"/>
          <w:divBdr>
            <w:top w:val="none" w:sz="0" w:space="0" w:color="auto"/>
            <w:left w:val="none" w:sz="0" w:space="0" w:color="auto"/>
            <w:bottom w:val="none" w:sz="0" w:space="0" w:color="auto"/>
            <w:right w:val="none" w:sz="0" w:space="0" w:color="auto"/>
          </w:divBdr>
        </w:div>
        <w:div w:id="1494299531">
          <w:marLeft w:val="0"/>
          <w:marRight w:val="0"/>
          <w:marTop w:val="0"/>
          <w:marBottom w:val="0"/>
          <w:divBdr>
            <w:top w:val="none" w:sz="0" w:space="0" w:color="auto"/>
            <w:left w:val="none" w:sz="0" w:space="0" w:color="auto"/>
            <w:bottom w:val="none" w:sz="0" w:space="0" w:color="auto"/>
            <w:right w:val="none" w:sz="0" w:space="0" w:color="auto"/>
          </w:divBdr>
        </w:div>
        <w:div w:id="1533691306">
          <w:marLeft w:val="0"/>
          <w:marRight w:val="0"/>
          <w:marTop w:val="0"/>
          <w:marBottom w:val="0"/>
          <w:divBdr>
            <w:top w:val="none" w:sz="0" w:space="0" w:color="auto"/>
            <w:left w:val="none" w:sz="0" w:space="0" w:color="auto"/>
            <w:bottom w:val="none" w:sz="0" w:space="0" w:color="auto"/>
            <w:right w:val="none" w:sz="0" w:space="0" w:color="auto"/>
          </w:divBdr>
        </w:div>
        <w:div w:id="1577320652">
          <w:marLeft w:val="0"/>
          <w:marRight w:val="0"/>
          <w:marTop w:val="0"/>
          <w:marBottom w:val="0"/>
          <w:divBdr>
            <w:top w:val="none" w:sz="0" w:space="0" w:color="auto"/>
            <w:left w:val="none" w:sz="0" w:space="0" w:color="auto"/>
            <w:bottom w:val="none" w:sz="0" w:space="0" w:color="auto"/>
            <w:right w:val="none" w:sz="0" w:space="0" w:color="auto"/>
          </w:divBdr>
        </w:div>
        <w:div w:id="1644699555">
          <w:marLeft w:val="0"/>
          <w:marRight w:val="0"/>
          <w:marTop w:val="0"/>
          <w:marBottom w:val="0"/>
          <w:divBdr>
            <w:top w:val="none" w:sz="0" w:space="0" w:color="auto"/>
            <w:left w:val="none" w:sz="0" w:space="0" w:color="auto"/>
            <w:bottom w:val="none" w:sz="0" w:space="0" w:color="auto"/>
            <w:right w:val="none" w:sz="0" w:space="0" w:color="auto"/>
          </w:divBdr>
        </w:div>
        <w:div w:id="1750537332">
          <w:marLeft w:val="0"/>
          <w:marRight w:val="0"/>
          <w:marTop w:val="0"/>
          <w:marBottom w:val="0"/>
          <w:divBdr>
            <w:top w:val="none" w:sz="0" w:space="0" w:color="auto"/>
            <w:left w:val="none" w:sz="0" w:space="0" w:color="auto"/>
            <w:bottom w:val="none" w:sz="0" w:space="0" w:color="auto"/>
            <w:right w:val="none" w:sz="0" w:space="0" w:color="auto"/>
          </w:divBdr>
        </w:div>
        <w:div w:id="1869563510">
          <w:marLeft w:val="0"/>
          <w:marRight w:val="0"/>
          <w:marTop w:val="0"/>
          <w:marBottom w:val="0"/>
          <w:divBdr>
            <w:top w:val="none" w:sz="0" w:space="0" w:color="auto"/>
            <w:left w:val="none" w:sz="0" w:space="0" w:color="auto"/>
            <w:bottom w:val="none" w:sz="0" w:space="0" w:color="auto"/>
            <w:right w:val="none" w:sz="0" w:space="0" w:color="auto"/>
          </w:divBdr>
        </w:div>
        <w:div w:id="1900898872">
          <w:marLeft w:val="0"/>
          <w:marRight w:val="0"/>
          <w:marTop w:val="0"/>
          <w:marBottom w:val="0"/>
          <w:divBdr>
            <w:top w:val="none" w:sz="0" w:space="0" w:color="auto"/>
            <w:left w:val="none" w:sz="0" w:space="0" w:color="auto"/>
            <w:bottom w:val="none" w:sz="0" w:space="0" w:color="auto"/>
            <w:right w:val="none" w:sz="0" w:space="0" w:color="auto"/>
          </w:divBdr>
        </w:div>
        <w:div w:id="1939866737">
          <w:marLeft w:val="0"/>
          <w:marRight w:val="0"/>
          <w:marTop w:val="0"/>
          <w:marBottom w:val="0"/>
          <w:divBdr>
            <w:top w:val="none" w:sz="0" w:space="0" w:color="auto"/>
            <w:left w:val="none" w:sz="0" w:space="0" w:color="auto"/>
            <w:bottom w:val="none" w:sz="0" w:space="0" w:color="auto"/>
            <w:right w:val="none" w:sz="0" w:space="0" w:color="auto"/>
          </w:divBdr>
        </w:div>
        <w:div w:id="1978951650">
          <w:marLeft w:val="0"/>
          <w:marRight w:val="0"/>
          <w:marTop w:val="0"/>
          <w:marBottom w:val="0"/>
          <w:divBdr>
            <w:top w:val="none" w:sz="0" w:space="0" w:color="auto"/>
            <w:left w:val="none" w:sz="0" w:space="0" w:color="auto"/>
            <w:bottom w:val="none" w:sz="0" w:space="0" w:color="auto"/>
            <w:right w:val="none" w:sz="0" w:space="0" w:color="auto"/>
          </w:divBdr>
        </w:div>
        <w:div w:id="2084570745">
          <w:marLeft w:val="0"/>
          <w:marRight w:val="0"/>
          <w:marTop w:val="0"/>
          <w:marBottom w:val="0"/>
          <w:divBdr>
            <w:top w:val="none" w:sz="0" w:space="0" w:color="auto"/>
            <w:left w:val="none" w:sz="0" w:space="0" w:color="auto"/>
            <w:bottom w:val="none" w:sz="0" w:space="0" w:color="auto"/>
            <w:right w:val="none" w:sz="0" w:space="0" w:color="auto"/>
          </w:divBdr>
        </w:div>
      </w:divsChild>
    </w:div>
    <w:div w:id="999698522">
      <w:bodyDiv w:val="1"/>
      <w:marLeft w:val="0"/>
      <w:marRight w:val="0"/>
      <w:marTop w:val="0"/>
      <w:marBottom w:val="0"/>
      <w:divBdr>
        <w:top w:val="none" w:sz="0" w:space="0" w:color="auto"/>
        <w:left w:val="none" w:sz="0" w:space="0" w:color="auto"/>
        <w:bottom w:val="none" w:sz="0" w:space="0" w:color="auto"/>
        <w:right w:val="none" w:sz="0" w:space="0" w:color="auto"/>
      </w:divBdr>
    </w:div>
    <w:div w:id="1019283057">
      <w:bodyDiv w:val="1"/>
      <w:marLeft w:val="0"/>
      <w:marRight w:val="0"/>
      <w:marTop w:val="0"/>
      <w:marBottom w:val="0"/>
      <w:divBdr>
        <w:top w:val="none" w:sz="0" w:space="0" w:color="auto"/>
        <w:left w:val="none" w:sz="0" w:space="0" w:color="auto"/>
        <w:bottom w:val="none" w:sz="0" w:space="0" w:color="auto"/>
        <w:right w:val="none" w:sz="0" w:space="0" w:color="auto"/>
      </w:divBdr>
      <w:divsChild>
        <w:div w:id="12801399">
          <w:marLeft w:val="0"/>
          <w:marRight w:val="0"/>
          <w:marTop w:val="0"/>
          <w:marBottom w:val="0"/>
          <w:divBdr>
            <w:top w:val="none" w:sz="0" w:space="0" w:color="auto"/>
            <w:left w:val="none" w:sz="0" w:space="0" w:color="auto"/>
            <w:bottom w:val="none" w:sz="0" w:space="0" w:color="auto"/>
            <w:right w:val="none" w:sz="0" w:space="0" w:color="auto"/>
          </w:divBdr>
        </w:div>
        <w:div w:id="413819749">
          <w:marLeft w:val="0"/>
          <w:marRight w:val="0"/>
          <w:marTop w:val="0"/>
          <w:marBottom w:val="0"/>
          <w:divBdr>
            <w:top w:val="none" w:sz="0" w:space="0" w:color="auto"/>
            <w:left w:val="none" w:sz="0" w:space="0" w:color="auto"/>
            <w:bottom w:val="none" w:sz="0" w:space="0" w:color="auto"/>
            <w:right w:val="none" w:sz="0" w:space="0" w:color="auto"/>
          </w:divBdr>
        </w:div>
        <w:div w:id="866217001">
          <w:marLeft w:val="0"/>
          <w:marRight w:val="0"/>
          <w:marTop w:val="0"/>
          <w:marBottom w:val="0"/>
          <w:divBdr>
            <w:top w:val="none" w:sz="0" w:space="0" w:color="auto"/>
            <w:left w:val="none" w:sz="0" w:space="0" w:color="auto"/>
            <w:bottom w:val="none" w:sz="0" w:space="0" w:color="auto"/>
            <w:right w:val="none" w:sz="0" w:space="0" w:color="auto"/>
          </w:divBdr>
        </w:div>
        <w:div w:id="977222672">
          <w:marLeft w:val="0"/>
          <w:marRight w:val="0"/>
          <w:marTop w:val="0"/>
          <w:marBottom w:val="0"/>
          <w:divBdr>
            <w:top w:val="none" w:sz="0" w:space="0" w:color="auto"/>
            <w:left w:val="none" w:sz="0" w:space="0" w:color="auto"/>
            <w:bottom w:val="none" w:sz="0" w:space="0" w:color="auto"/>
            <w:right w:val="none" w:sz="0" w:space="0" w:color="auto"/>
          </w:divBdr>
        </w:div>
        <w:div w:id="1526140223">
          <w:marLeft w:val="0"/>
          <w:marRight w:val="0"/>
          <w:marTop w:val="0"/>
          <w:marBottom w:val="0"/>
          <w:divBdr>
            <w:top w:val="none" w:sz="0" w:space="0" w:color="auto"/>
            <w:left w:val="none" w:sz="0" w:space="0" w:color="auto"/>
            <w:bottom w:val="none" w:sz="0" w:space="0" w:color="auto"/>
            <w:right w:val="none" w:sz="0" w:space="0" w:color="auto"/>
          </w:divBdr>
        </w:div>
        <w:div w:id="1775519129">
          <w:marLeft w:val="0"/>
          <w:marRight w:val="0"/>
          <w:marTop w:val="0"/>
          <w:marBottom w:val="0"/>
          <w:divBdr>
            <w:top w:val="none" w:sz="0" w:space="0" w:color="auto"/>
            <w:left w:val="none" w:sz="0" w:space="0" w:color="auto"/>
            <w:bottom w:val="none" w:sz="0" w:space="0" w:color="auto"/>
            <w:right w:val="none" w:sz="0" w:space="0" w:color="auto"/>
          </w:divBdr>
        </w:div>
      </w:divsChild>
    </w:div>
    <w:div w:id="1093159955">
      <w:bodyDiv w:val="1"/>
      <w:marLeft w:val="0"/>
      <w:marRight w:val="0"/>
      <w:marTop w:val="0"/>
      <w:marBottom w:val="0"/>
      <w:divBdr>
        <w:top w:val="none" w:sz="0" w:space="0" w:color="auto"/>
        <w:left w:val="none" w:sz="0" w:space="0" w:color="auto"/>
        <w:bottom w:val="none" w:sz="0" w:space="0" w:color="auto"/>
        <w:right w:val="none" w:sz="0" w:space="0" w:color="auto"/>
      </w:divBdr>
      <w:divsChild>
        <w:div w:id="1848597122">
          <w:marLeft w:val="720"/>
          <w:marRight w:val="0"/>
          <w:marTop w:val="0"/>
          <w:marBottom w:val="202"/>
          <w:divBdr>
            <w:top w:val="none" w:sz="0" w:space="0" w:color="auto"/>
            <w:left w:val="none" w:sz="0" w:space="0" w:color="auto"/>
            <w:bottom w:val="none" w:sz="0" w:space="0" w:color="auto"/>
            <w:right w:val="none" w:sz="0" w:space="0" w:color="auto"/>
          </w:divBdr>
        </w:div>
        <w:div w:id="872352503">
          <w:marLeft w:val="806"/>
          <w:marRight w:val="0"/>
          <w:marTop w:val="0"/>
          <w:marBottom w:val="202"/>
          <w:divBdr>
            <w:top w:val="none" w:sz="0" w:space="0" w:color="auto"/>
            <w:left w:val="none" w:sz="0" w:space="0" w:color="auto"/>
            <w:bottom w:val="none" w:sz="0" w:space="0" w:color="auto"/>
            <w:right w:val="none" w:sz="0" w:space="0" w:color="auto"/>
          </w:divBdr>
        </w:div>
      </w:divsChild>
    </w:div>
    <w:div w:id="1115633475">
      <w:bodyDiv w:val="1"/>
      <w:marLeft w:val="0"/>
      <w:marRight w:val="0"/>
      <w:marTop w:val="0"/>
      <w:marBottom w:val="0"/>
      <w:divBdr>
        <w:top w:val="none" w:sz="0" w:space="0" w:color="auto"/>
        <w:left w:val="none" w:sz="0" w:space="0" w:color="auto"/>
        <w:bottom w:val="none" w:sz="0" w:space="0" w:color="auto"/>
        <w:right w:val="none" w:sz="0" w:space="0" w:color="auto"/>
      </w:divBdr>
    </w:div>
    <w:div w:id="1189291702">
      <w:bodyDiv w:val="1"/>
      <w:marLeft w:val="0"/>
      <w:marRight w:val="0"/>
      <w:marTop w:val="0"/>
      <w:marBottom w:val="0"/>
      <w:divBdr>
        <w:top w:val="none" w:sz="0" w:space="0" w:color="auto"/>
        <w:left w:val="none" w:sz="0" w:space="0" w:color="auto"/>
        <w:bottom w:val="none" w:sz="0" w:space="0" w:color="auto"/>
        <w:right w:val="none" w:sz="0" w:space="0" w:color="auto"/>
      </w:divBdr>
    </w:div>
    <w:div w:id="1222594124">
      <w:bodyDiv w:val="1"/>
      <w:marLeft w:val="0"/>
      <w:marRight w:val="0"/>
      <w:marTop w:val="0"/>
      <w:marBottom w:val="0"/>
      <w:divBdr>
        <w:top w:val="none" w:sz="0" w:space="0" w:color="auto"/>
        <w:left w:val="none" w:sz="0" w:space="0" w:color="auto"/>
        <w:bottom w:val="none" w:sz="0" w:space="0" w:color="auto"/>
        <w:right w:val="none" w:sz="0" w:space="0" w:color="auto"/>
      </w:divBdr>
      <w:divsChild>
        <w:div w:id="33429115">
          <w:marLeft w:val="0"/>
          <w:marRight w:val="0"/>
          <w:marTop w:val="0"/>
          <w:marBottom w:val="0"/>
          <w:divBdr>
            <w:top w:val="none" w:sz="0" w:space="0" w:color="auto"/>
            <w:left w:val="none" w:sz="0" w:space="0" w:color="auto"/>
            <w:bottom w:val="none" w:sz="0" w:space="0" w:color="auto"/>
            <w:right w:val="none" w:sz="0" w:space="0" w:color="auto"/>
          </w:divBdr>
        </w:div>
        <w:div w:id="137109080">
          <w:marLeft w:val="0"/>
          <w:marRight w:val="0"/>
          <w:marTop w:val="0"/>
          <w:marBottom w:val="0"/>
          <w:divBdr>
            <w:top w:val="none" w:sz="0" w:space="0" w:color="auto"/>
            <w:left w:val="none" w:sz="0" w:space="0" w:color="auto"/>
            <w:bottom w:val="none" w:sz="0" w:space="0" w:color="auto"/>
            <w:right w:val="none" w:sz="0" w:space="0" w:color="auto"/>
          </w:divBdr>
        </w:div>
        <w:div w:id="415324298">
          <w:marLeft w:val="0"/>
          <w:marRight w:val="0"/>
          <w:marTop w:val="0"/>
          <w:marBottom w:val="0"/>
          <w:divBdr>
            <w:top w:val="none" w:sz="0" w:space="0" w:color="auto"/>
            <w:left w:val="none" w:sz="0" w:space="0" w:color="auto"/>
            <w:bottom w:val="none" w:sz="0" w:space="0" w:color="auto"/>
            <w:right w:val="none" w:sz="0" w:space="0" w:color="auto"/>
          </w:divBdr>
        </w:div>
        <w:div w:id="665524081">
          <w:marLeft w:val="0"/>
          <w:marRight w:val="0"/>
          <w:marTop w:val="0"/>
          <w:marBottom w:val="0"/>
          <w:divBdr>
            <w:top w:val="none" w:sz="0" w:space="0" w:color="auto"/>
            <w:left w:val="none" w:sz="0" w:space="0" w:color="auto"/>
            <w:bottom w:val="none" w:sz="0" w:space="0" w:color="auto"/>
            <w:right w:val="none" w:sz="0" w:space="0" w:color="auto"/>
          </w:divBdr>
        </w:div>
        <w:div w:id="697663073">
          <w:marLeft w:val="0"/>
          <w:marRight w:val="0"/>
          <w:marTop w:val="0"/>
          <w:marBottom w:val="0"/>
          <w:divBdr>
            <w:top w:val="none" w:sz="0" w:space="0" w:color="auto"/>
            <w:left w:val="none" w:sz="0" w:space="0" w:color="auto"/>
            <w:bottom w:val="none" w:sz="0" w:space="0" w:color="auto"/>
            <w:right w:val="none" w:sz="0" w:space="0" w:color="auto"/>
          </w:divBdr>
        </w:div>
        <w:div w:id="1072235374">
          <w:marLeft w:val="0"/>
          <w:marRight w:val="0"/>
          <w:marTop w:val="0"/>
          <w:marBottom w:val="0"/>
          <w:divBdr>
            <w:top w:val="none" w:sz="0" w:space="0" w:color="auto"/>
            <w:left w:val="none" w:sz="0" w:space="0" w:color="auto"/>
            <w:bottom w:val="none" w:sz="0" w:space="0" w:color="auto"/>
            <w:right w:val="none" w:sz="0" w:space="0" w:color="auto"/>
          </w:divBdr>
        </w:div>
        <w:div w:id="1321428424">
          <w:marLeft w:val="0"/>
          <w:marRight w:val="0"/>
          <w:marTop w:val="0"/>
          <w:marBottom w:val="0"/>
          <w:divBdr>
            <w:top w:val="none" w:sz="0" w:space="0" w:color="auto"/>
            <w:left w:val="none" w:sz="0" w:space="0" w:color="auto"/>
            <w:bottom w:val="none" w:sz="0" w:space="0" w:color="auto"/>
            <w:right w:val="none" w:sz="0" w:space="0" w:color="auto"/>
          </w:divBdr>
        </w:div>
        <w:div w:id="1349986569">
          <w:marLeft w:val="0"/>
          <w:marRight w:val="0"/>
          <w:marTop w:val="0"/>
          <w:marBottom w:val="0"/>
          <w:divBdr>
            <w:top w:val="none" w:sz="0" w:space="0" w:color="auto"/>
            <w:left w:val="none" w:sz="0" w:space="0" w:color="auto"/>
            <w:bottom w:val="none" w:sz="0" w:space="0" w:color="auto"/>
            <w:right w:val="none" w:sz="0" w:space="0" w:color="auto"/>
          </w:divBdr>
        </w:div>
      </w:divsChild>
    </w:div>
    <w:div w:id="1250626672">
      <w:bodyDiv w:val="1"/>
      <w:marLeft w:val="0"/>
      <w:marRight w:val="0"/>
      <w:marTop w:val="0"/>
      <w:marBottom w:val="0"/>
      <w:divBdr>
        <w:top w:val="none" w:sz="0" w:space="0" w:color="auto"/>
        <w:left w:val="none" w:sz="0" w:space="0" w:color="auto"/>
        <w:bottom w:val="none" w:sz="0" w:space="0" w:color="auto"/>
        <w:right w:val="none" w:sz="0" w:space="0" w:color="auto"/>
      </w:divBdr>
    </w:div>
    <w:div w:id="1259749206">
      <w:bodyDiv w:val="1"/>
      <w:marLeft w:val="0"/>
      <w:marRight w:val="0"/>
      <w:marTop w:val="0"/>
      <w:marBottom w:val="0"/>
      <w:divBdr>
        <w:top w:val="none" w:sz="0" w:space="0" w:color="auto"/>
        <w:left w:val="none" w:sz="0" w:space="0" w:color="auto"/>
        <w:bottom w:val="none" w:sz="0" w:space="0" w:color="auto"/>
        <w:right w:val="none" w:sz="0" w:space="0" w:color="auto"/>
      </w:divBdr>
    </w:div>
    <w:div w:id="1290209301">
      <w:bodyDiv w:val="1"/>
      <w:marLeft w:val="0"/>
      <w:marRight w:val="0"/>
      <w:marTop w:val="0"/>
      <w:marBottom w:val="0"/>
      <w:divBdr>
        <w:top w:val="none" w:sz="0" w:space="0" w:color="auto"/>
        <w:left w:val="none" w:sz="0" w:space="0" w:color="auto"/>
        <w:bottom w:val="none" w:sz="0" w:space="0" w:color="auto"/>
        <w:right w:val="none" w:sz="0" w:space="0" w:color="auto"/>
      </w:divBdr>
    </w:div>
    <w:div w:id="1357733746">
      <w:bodyDiv w:val="1"/>
      <w:marLeft w:val="0"/>
      <w:marRight w:val="0"/>
      <w:marTop w:val="0"/>
      <w:marBottom w:val="0"/>
      <w:divBdr>
        <w:top w:val="none" w:sz="0" w:space="0" w:color="auto"/>
        <w:left w:val="none" w:sz="0" w:space="0" w:color="auto"/>
        <w:bottom w:val="none" w:sz="0" w:space="0" w:color="auto"/>
        <w:right w:val="none" w:sz="0" w:space="0" w:color="auto"/>
      </w:divBdr>
      <w:divsChild>
        <w:div w:id="216939236">
          <w:marLeft w:val="806"/>
          <w:marRight w:val="0"/>
          <w:marTop w:val="0"/>
          <w:marBottom w:val="227"/>
          <w:divBdr>
            <w:top w:val="none" w:sz="0" w:space="0" w:color="auto"/>
            <w:left w:val="none" w:sz="0" w:space="0" w:color="auto"/>
            <w:bottom w:val="none" w:sz="0" w:space="0" w:color="auto"/>
            <w:right w:val="none" w:sz="0" w:space="0" w:color="auto"/>
          </w:divBdr>
        </w:div>
      </w:divsChild>
    </w:div>
    <w:div w:id="1375349786">
      <w:bodyDiv w:val="1"/>
      <w:marLeft w:val="0"/>
      <w:marRight w:val="0"/>
      <w:marTop w:val="0"/>
      <w:marBottom w:val="0"/>
      <w:divBdr>
        <w:top w:val="none" w:sz="0" w:space="0" w:color="auto"/>
        <w:left w:val="none" w:sz="0" w:space="0" w:color="auto"/>
        <w:bottom w:val="none" w:sz="0" w:space="0" w:color="auto"/>
        <w:right w:val="none" w:sz="0" w:space="0" w:color="auto"/>
      </w:divBdr>
    </w:div>
    <w:div w:id="1385105942">
      <w:bodyDiv w:val="1"/>
      <w:marLeft w:val="0"/>
      <w:marRight w:val="0"/>
      <w:marTop w:val="0"/>
      <w:marBottom w:val="0"/>
      <w:divBdr>
        <w:top w:val="none" w:sz="0" w:space="0" w:color="auto"/>
        <w:left w:val="none" w:sz="0" w:space="0" w:color="auto"/>
        <w:bottom w:val="none" w:sz="0" w:space="0" w:color="auto"/>
        <w:right w:val="none" w:sz="0" w:space="0" w:color="auto"/>
      </w:divBdr>
      <w:divsChild>
        <w:div w:id="1011879007">
          <w:marLeft w:val="1267"/>
          <w:marRight w:val="0"/>
          <w:marTop w:val="0"/>
          <w:marBottom w:val="202"/>
          <w:divBdr>
            <w:top w:val="none" w:sz="0" w:space="0" w:color="auto"/>
            <w:left w:val="none" w:sz="0" w:space="0" w:color="auto"/>
            <w:bottom w:val="none" w:sz="0" w:space="0" w:color="auto"/>
            <w:right w:val="none" w:sz="0" w:space="0" w:color="auto"/>
          </w:divBdr>
        </w:div>
        <w:div w:id="1174488451">
          <w:marLeft w:val="1267"/>
          <w:marRight w:val="0"/>
          <w:marTop w:val="0"/>
          <w:marBottom w:val="202"/>
          <w:divBdr>
            <w:top w:val="none" w:sz="0" w:space="0" w:color="auto"/>
            <w:left w:val="none" w:sz="0" w:space="0" w:color="auto"/>
            <w:bottom w:val="none" w:sz="0" w:space="0" w:color="auto"/>
            <w:right w:val="none" w:sz="0" w:space="0" w:color="auto"/>
          </w:divBdr>
        </w:div>
      </w:divsChild>
    </w:div>
    <w:div w:id="1411390221">
      <w:bodyDiv w:val="1"/>
      <w:marLeft w:val="0"/>
      <w:marRight w:val="0"/>
      <w:marTop w:val="0"/>
      <w:marBottom w:val="0"/>
      <w:divBdr>
        <w:top w:val="none" w:sz="0" w:space="0" w:color="auto"/>
        <w:left w:val="none" w:sz="0" w:space="0" w:color="auto"/>
        <w:bottom w:val="none" w:sz="0" w:space="0" w:color="auto"/>
        <w:right w:val="none" w:sz="0" w:space="0" w:color="auto"/>
      </w:divBdr>
      <w:divsChild>
        <w:div w:id="277221601">
          <w:marLeft w:val="806"/>
          <w:marRight w:val="0"/>
          <w:marTop w:val="0"/>
          <w:marBottom w:val="235"/>
          <w:divBdr>
            <w:top w:val="none" w:sz="0" w:space="0" w:color="auto"/>
            <w:left w:val="none" w:sz="0" w:space="0" w:color="auto"/>
            <w:bottom w:val="none" w:sz="0" w:space="0" w:color="auto"/>
            <w:right w:val="none" w:sz="0" w:space="0" w:color="auto"/>
          </w:divBdr>
        </w:div>
        <w:div w:id="1087312889">
          <w:marLeft w:val="806"/>
          <w:marRight w:val="0"/>
          <w:marTop w:val="0"/>
          <w:marBottom w:val="235"/>
          <w:divBdr>
            <w:top w:val="none" w:sz="0" w:space="0" w:color="auto"/>
            <w:left w:val="none" w:sz="0" w:space="0" w:color="auto"/>
            <w:bottom w:val="none" w:sz="0" w:space="0" w:color="auto"/>
            <w:right w:val="none" w:sz="0" w:space="0" w:color="auto"/>
          </w:divBdr>
        </w:div>
      </w:divsChild>
    </w:div>
    <w:div w:id="1456949278">
      <w:bodyDiv w:val="1"/>
      <w:marLeft w:val="0"/>
      <w:marRight w:val="0"/>
      <w:marTop w:val="0"/>
      <w:marBottom w:val="0"/>
      <w:divBdr>
        <w:top w:val="none" w:sz="0" w:space="0" w:color="auto"/>
        <w:left w:val="none" w:sz="0" w:space="0" w:color="auto"/>
        <w:bottom w:val="none" w:sz="0" w:space="0" w:color="auto"/>
        <w:right w:val="none" w:sz="0" w:space="0" w:color="auto"/>
      </w:divBdr>
      <w:divsChild>
        <w:div w:id="2071806410">
          <w:marLeft w:val="806"/>
          <w:marRight w:val="0"/>
          <w:marTop w:val="0"/>
          <w:marBottom w:val="202"/>
          <w:divBdr>
            <w:top w:val="none" w:sz="0" w:space="0" w:color="auto"/>
            <w:left w:val="none" w:sz="0" w:space="0" w:color="auto"/>
            <w:bottom w:val="none" w:sz="0" w:space="0" w:color="auto"/>
            <w:right w:val="none" w:sz="0" w:space="0" w:color="auto"/>
          </w:divBdr>
        </w:div>
        <w:div w:id="1861385844">
          <w:marLeft w:val="1267"/>
          <w:marRight w:val="0"/>
          <w:marTop w:val="0"/>
          <w:marBottom w:val="202"/>
          <w:divBdr>
            <w:top w:val="none" w:sz="0" w:space="0" w:color="auto"/>
            <w:left w:val="none" w:sz="0" w:space="0" w:color="auto"/>
            <w:bottom w:val="none" w:sz="0" w:space="0" w:color="auto"/>
            <w:right w:val="none" w:sz="0" w:space="0" w:color="auto"/>
          </w:divBdr>
        </w:div>
      </w:divsChild>
    </w:div>
    <w:div w:id="1475219982">
      <w:bodyDiv w:val="1"/>
      <w:marLeft w:val="0"/>
      <w:marRight w:val="0"/>
      <w:marTop w:val="0"/>
      <w:marBottom w:val="0"/>
      <w:divBdr>
        <w:top w:val="none" w:sz="0" w:space="0" w:color="auto"/>
        <w:left w:val="none" w:sz="0" w:space="0" w:color="auto"/>
        <w:bottom w:val="none" w:sz="0" w:space="0" w:color="auto"/>
        <w:right w:val="none" w:sz="0" w:space="0" w:color="auto"/>
      </w:divBdr>
    </w:div>
    <w:div w:id="1501701771">
      <w:bodyDiv w:val="1"/>
      <w:marLeft w:val="0"/>
      <w:marRight w:val="0"/>
      <w:marTop w:val="0"/>
      <w:marBottom w:val="0"/>
      <w:divBdr>
        <w:top w:val="none" w:sz="0" w:space="0" w:color="auto"/>
        <w:left w:val="none" w:sz="0" w:space="0" w:color="auto"/>
        <w:bottom w:val="none" w:sz="0" w:space="0" w:color="auto"/>
        <w:right w:val="none" w:sz="0" w:space="0" w:color="auto"/>
      </w:divBdr>
    </w:div>
    <w:div w:id="1505894931">
      <w:bodyDiv w:val="1"/>
      <w:marLeft w:val="0"/>
      <w:marRight w:val="0"/>
      <w:marTop w:val="0"/>
      <w:marBottom w:val="0"/>
      <w:divBdr>
        <w:top w:val="none" w:sz="0" w:space="0" w:color="auto"/>
        <w:left w:val="none" w:sz="0" w:space="0" w:color="auto"/>
        <w:bottom w:val="none" w:sz="0" w:space="0" w:color="auto"/>
        <w:right w:val="none" w:sz="0" w:space="0" w:color="auto"/>
      </w:divBdr>
    </w:div>
    <w:div w:id="1513034805">
      <w:bodyDiv w:val="1"/>
      <w:marLeft w:val="0"/>
      <w:marRight w:val="0"/>
      <w:marTop w:val="0"/>
      <w:marBottom w:val="0"/>
      <w:divBdr>
        <w:top w:val="none" w:sz="0" w:space="0" w:color="auto"/>
        <w:left w:val="none" w:sz="0" w:space="0" w:color="auto"/>
        <w:bottom w:val="none" w:sz="0" w:space="0" w:color="auto"/>
        <w:right w:val="none" w:sz="0" w:space="0" w:color="auto"/>
      </w:divBdr>
      <w:divsChild>
        <w:div w:id="975333138">
          <w:marLeft w:val="0"/>
          <w:marRight w:val="0"/>
          <w:marTop w:val="0"/>
          <w:marBottom w:val="0"/>
          <w:divBdr>
            <w:top w:val="none" w:sz="0" w:space="0" w:color="auto"/>
            <w:left w:val="none" w:sz="0" w:space="0" w:color="auto"/>
            <w:bottom w:val="none" w:sz="0" w:space="0" w:color="auto"/>
            <w:right w:val="none" w:sz="0" w:space="0" w:color="auto"/>
          </w:divBdr>
        </w:div>
        <w:div w:id="1023826719">
          <w:marLeft w:val="0"/>
          <w:marRight w:val="0"/>
          <w:marTop w:val="0"/>
          <w:marBottom w:val="0"/>
          <w:divBdr>
            <w:top w:val="none" w:sz="0" w:space="0" w:color="auto"/>
            <w:left w:val="none" w:sz="0" w:space="0" w:color="auto"/>
            <w:bottom w:val="none" w:sz="0" w:space="0" w:color="auto"/>
            <w:right w:val="none" w:sz="0" w:space="0" w:color="auto"/>
          </w:divBdr>
        </w:div>
        <w:div w:id="1929118234">
          <w:marLeft w:val="0"/>
          <w:marRight w:val="0"/>
          <w:marTop w:val="0"/>
          <w:marBottom w:val="0"/>
          <w:divBdr>
            <w:top w:val="none" w:sz="0" w:space="0" w:color="auto"/>
            <w:left w:val="none" w:sz="0" w:space="0" w:color="auto"/>
            <w:bottom w:val="none" w:sz="0" w:space="0" w:color="auto"/>
            <w:right w:val="none" w:sz="0" w:space="0" w:color="auto"/>
          </w:divBdr>
        </w:div>
      </w:divsChild>
    </w:div>
    <w:div w:id="1610773429">
      <w:bodyDiv w:val="1"/>
      <w:marLeft w:val="0"/>
      <w:marRight w:val="0"/>
      <w:marTop w:val="0"/>
      <w:marBottom w:val="0"/>
      <w:divBdr>
        <w:top w:val="none" w:sz="0" w:space="0" w:color="auto"/>
        <w:left w:val="none" w:sz="0" w:space="0" w:color="auto"/>
        <w:bottom w:val="none" w:sz="0" w:space="0" w:color="auto"/>
        <w:right w:val="none" w:sz="0" w:space="0" w:color="auto"/>
      </w:divBdr>
    </w:div>
    <w:div w:id="1614628321">
      <w:bodyDiv w:val="1"/>
      <w:marLeft w:val="0"/>
      <w:marRight w:val="0"/>
      <w:marTop w:val="0"/>
      <w:marBottom w:val="0"/>
      <w:divBdr>
        <w:top w:val="none" w:sz="0" w:space="0" w:color="auto"/>
        <w:left w:val="none" w:sz="0" w:space="0" w:color="auto"/>
        <w:bottom w:val="none" w:sz="0" w:space="0" w:color="auto"/>
        <w:right w:val="none" w:sz="0" w:space="0" w:color="auto"/>
      </w:divBdr>
      <w:divsChild>
        <w:div w:id="512768759">
          <w:marLeft w:val="446"/>
          <w:marRight w:val="0"/>
          <w:marTop w:val="0"/>
          <w:marBottom w:val="0"/>
          <w:divBdr>
            <w:top w:val="none" w:sz="0" w:space="0" w:color="auto"/>
            <w:left w:val="none" w:sz="0" w:space="0" w:color="auto"/>
            <w:bottom w:val="none" w:sz="0" w:space="0" w:color="auto"/>
            <w:right w:val="none" w:sz="0" w:space="0" w:color="auto"/>
          </w:divBdr>
        </w:div>
        <w:div w:id="782113427">
          <w:marLeft w:val="446"/>
          <w:marRight w:val="0"/>
          <w:marTop w:val="0"/>
          <w:marBottom w:val="0"/>
          <w:divBdr>
            <w:top w:val="none" w:sz="0" w:space="0" w:color="auto"/>
            <w:left w:val="none" w:sz="0" w:space="0" w:color="auto"/>
            <w:bottom w:val="none" w:sz="0" w:space="0" w:color="auto"/>
            <w:right w:val="none" w:sz="0" w:space="0" w:color="auto"/>
          </w:divBdr>
        </w:div>
        <w:div w:id="1301107226">
          <w:marLeft w:val="446"/>
          <w:marRight w:val="0"/>
          <w:marTop w:val="0"/>
          <w:marBottom w:val="0"/>
          <w:divBdr>
            <w:top w:val="none" w:sz="0" w:space="0" w:color="auto"/>
            <w:left w:val="none" w:sz="0" w:space="0" w:color="auto"/>
            <w:bottom w:val="none" w:sz="0" w:space="0" w:color="auto"/>
            <w:right w:val="none" w:sz="0" w:space="0" w:color="auto"/>
          </w:divBdr>
        </w:div>
        <w:div w:id="1870097802">
          <w:marLeft w:val="446"/>
          <w:marRight w:val="0"/>
          <w:marTop w:val="0"/>
          <w:marBottom w:val="0"/>
          <w:divBdr>
            <w:top w:val="none" w:sz="0" w:space="0" w:color="auto"/>
            <w:left w:val="none" w:sz="0" w:space="0" w:color="auto"/>
            <w:bottom w:val="none" w:sz="0" w:space="0" w:color="auto"/>
            <w:right w:val="none" w:sz="0" w:space="0" w:color="auto"/>
          </w:divBdr>
        </w:div>
        <w:div w:id="1892420124">
          <w:marLeft w:val="446"/>
          <w:marRight w:val="0"/>
          <w:marTop w:val="0"/>
          <w:marBottom w:val="0"/>
          <w:divBdr>
            <w:top w:val="none" w:sz="0" w:space="0" w:color="auto"/>
            <w:left w:val="none" w:sz="0" w:space="0" w:color="auto"/>
            <w:bottom w:val="none" w:sz="0" w:space="0" w:color="auto"/>
            <w:right w:val="none" w:sz="0" w:space="0" w:color="auto"/>
          </w:divBdr>
        </w:div>
      </w:divsChild>
    </w:div>
    <w:div w:id="1650940089">
      <w:bodyDiv w:val="1"/>
      <w:marLeft w:val="0"/>
      <w:marRight w:val="0"/>
      <w:marTop w:val="0"/>
      <w:marBottom w:val="0"/>
      <w:divBdr>
        <w:top w:val="none" w:sz="0" w:space="0" w:color="auto"/>
        <w:left w:val="none" w:sz="0" w:space="0" w:color="auto"/>
        <w:bottom w:val="none" w:sz="0" w:space="0" w:color="auto"/>
        <w:right w:val="none" w:sz="0" w:space="0" w:color="auto"/>
      </w:divBdr>
      <w:divsChild>
        <w:div w:id="1483278022">
          <w:marLeft w:val="0"/>
          <w:marRight w:val="0"/>
          <w:marTop w:val="0"/>
          <w:marBottom w:val="0"/>
          <w:divBdr>
            <w:top w:val="none" w:sz="0" w:space="0" w:color="auto"/>
            <w:left w:val="none" w:sz="0" w:space="0" w:color="auto"/>
            <w:bottom w:val="none" w:sz="0" w:space="0" w:color="auto"/>
            <w:right w:val="none" w:sz="0" w:space="0" w:color="auto"/>
          </w:divBdr>
        </w:div>
        <w:div w:id="1543514631">
          <w:marLeft w:val="0"/>
          <w:marRight w:val="0"/>
          <w:marTop w:val="0"/>
          <w:marBottom w:val="0"/>
          <w:divBdr>
            <w:top w:val="none" w:sz="0" w:space="0" w:color="auto"/>
            <w:left w:val="none" w:sz="0" w:space="0" w:color="auto"/>
            <w:bottom w:val="none" w:sz="0" w:space="0" w:color="auto"/>
            <w:right w:val="none" w:sz="0" w:space="0" w:color="auto"/>
          </w:divBdr>
        </w:div>
        <w:div w:id="1981421208">
          <w:marLeft w:val="0"/>
          <w:marRight w:val="0"/>
          <w:marTop w:val="0"/>
          <w:marBottom w:val="0"/>
          <w:divBdr>
            <w:top w:val="none" w:sz="0" w:space="0" w:color="auto"/>
            <w:left w:val="none" w:sz="0" w:space="0" w:color="auto"/>
            <w:bottom w:val="none" w:sz="0" w:space="0" w:color="auto"/>
            <w:right w:val="none" w:sz="0" w:space="0" w:color="auto"/>
          </w:divBdr>
        </w:div>
      </w:divsChild>
    </w:div>
    <w:div w:id="1694915418">
      <w:bodyDiv w:val="1"/>
      <w:marLeft w:val="0"/>
      <w:marRight w:val="0"/>
      <w:marTop w:val="0"/>
      <w:marBottom w:val="0"/>
      <w:divBdr>
        <w:top w:val="none" w:sz="0" w:space="0" w:color="auto"/>
        <w:left w:val="none" w:sz="0" w:space="0" w:color="auto"/>
        <w:bottom w:val="none" w:sz="0" w:space="0" w:color="auto"/>
        <w:right w:val="none" w:sz="0" w:space="0" w:color="auto"/>
      </w:divBdr>
    </w:div>
    <w:div w:id="1725711492">
      <w:bodyDiv w:val="1"/>
      <w:marLeft w:val="0"/>
      <w:marRight w:val="0"/>
      <w:marTop w:val="0"/>
      <w:marBottom w:val="0"/>
      <w:divBdr>
        <w:top w:val="none" w:sz="0" w:space="0" w:color="auto"/>
        <w:left w:val="none" w:sz="0" w:space="0" w:color="auto"/>
        <w:bottom w:val="none" w:sz="0" w:space="0" w:color="auto"/>
        <w:right w:val="none" w:sz="0" w:space="0" w:color="auto"/>
      </w:divBdr>
    </w:div>
    <w:div w:id="1737971242">
      <w:bodyDiv w:val="1"/>
      <w:marLeft w:val="0"/>
      <w:marRight w:val="0"/>
      <w:marTop w:val="0"/>
      <w:marBottom w:val="0"/>
      <w:divBdr>
        <w:top w:val="none" w:sz="0" w:space="0" w:color="auto"/>
        <w:left w:val="none" w:sz="0" w:space="0" w:color="auto"/>
        <w:bottom w:val="none" w:sz="0" w:space="0" w:color="auto"/>
        <w:right w:val="none" w:sz="0" w:space="0" w:color="auto"/>
      </w:divBdr>
    </w:div>
    <w:div w:id="1743404349">
      <w:bodyDiv w:val="1"/>
      <w:marLeft w:val="0"/>
      <w:marRight w:val="0"/>
      <w:marTop w:val="0"/>
      <w:marBottom w:val="0"/>
      <w:divBdr>
        <w:top w:val="none" w:sz="0" w:space="0" w:color="auto"/>
        <w:left w:val="none" w:sz="0" w:space="0" w:color="auto"/>
        <w:bottom w:val="none" w:sz="0" w:space="0" w:color="auto"/>
        <w:right w:val="none" w:sz="0" w:space="0" w:color="auto"/>
      </w:divBdr>
    </w:div>
    <w:div w:id="1752658983">
      <w:bodyDiv w:val="1"/>
      <w:marLeft w:val="0"/>
      <w:marRight w:val="0"/>
      <w:marTop w:val="0"/>
      <w:marBottom w:val="0"/>
      <w:divBdr>
        <w:top w:val="none" w:sz="0" w:space="0" w:color="auto"/>
        <w:left w:val="none" w:sz="0" w:space="0" w:color="auto"/>
        <w:bottom w:val="none" w:sz="0" w:space="0" w:color="auto"/>
        <w:right w:val="none" w:sz="0" w:space="0" w:color="auto"/>
      </w:divBdr>
      <w:divsChild>
        <w:div w:id="1156646744">
          <w:marLeft w:val="806"/>
          <w:marRight w:val="0"/>
          <w:marTop w:val="0"/>
          <w:marBottom w:val="235"/>
          <w:divBdr>
            <w:top w:val="none" w:sz="0" w:space="0" w:color="auto"/>
            <w:left w:val="none" w:sz="0" w:space="0" w:color="auto"/>
            <w:bottom w:val="none" w:sz="0" w:space="0" w:color="auto"/>
            <w:right w:val="none" w:sz="0" w:space="0" w:color="auto"/>
          </w:divBdr>
        </w:div>
        <w:div w:id="1195849224">
          <w:marLeft w:val="806"/>
          <w:marRight w:val="0"/>
          <w:marTop w:val="0"/>
          <w:marBottom w:val="235"/>
          <w:divBdr>
            <w:top w:val="none" w:sz="0" w:space="0" w:color="auto"/>
            <w:left w:val="none" w:sz="0" w:space="0" w:color="auto"/>
            <w:bottom w:val="none" w:sz="0" w:space="0" w:color="auto"/>
            <w:right w:val="none" w:sz="0" w:space="0" w:color="auto"/>
          </w:divBdr>
        </w:div>
      </w:divsChild>
    </w:div>
    <w:div w:id="1758791190">
      <w:bodyDiv w:val="1"/>
      <w:marLeft w:val="0"/>
      <w:marRight w:val="0"/>
      <w:marTop w:val="0"/>
      <w:marBottom w:val="0"/>
      <w:divBdr>
        <w:top w:val="none" w:sz="0" w:space="0" w:color="auto"/>
        <w:left w:val="none" w:sz="0" w:space="0" w:color="auto"/>
        <w:bottom w:val="none" w:sz="0" w:space="0" w:color="auto"/>
        <w:right w:val="none" w:sz="0" w:space="0" w:color="auto"/>
      </w:divBdr>
      <w:divsChild>
        <w:div w:id="241376986">
          <w:marLeft w:val="0"/>
          <w:marRight w:val="0"/>
          <w:marTop w:val="0"/>
          <w:marBottom w:val="0"/>
          <w:divBdr>
            <w:top w:val="none" w:sz="0" w:space="0" w:color="auto"/>
            <w:left w:val="none" w:sz="0" w:space="0" w:color="auto"/>
            <w:bottom w:val="none" w:sz="0" w:space="0" w:color="auto"/>
            <w:right w:val="none" w:sz="0" w:space="0" w:color="auto"/>
          </w:divBdr>
        </w:div>
        <w:div w:id="751393314">
          <w:marLeft w:val="0"/>
          <w:marRight w:val="0"/>
          <w:marTop w:val="0"/>
          <w:marBottom w:val="0"/>
          <w:divBdr>
            <w:top w:val="none" w:sz="0" w:space="0" w:color="auto"/>
            <w:left w:val="none" w:sz="0" w:space="0" w:color="auto"/>
            <w:bottom w:val="none" w:sz="0" w:space="0" w:color="auto"/>
            <w:right w:val="none" w:sz="0" w:space="0" w:color="auto"/>
          </w:divBdr>
        </w:div>
        <w:div w:id="1896164845">
          <w:marLeft w:val="0"/>
          <w:marRight w:val="0"/>
          <w:marTop w:val="0"/>
          <w:marBottom w:val="0"/>
          <w:divBdr>
            <w:top w:val="none" w:sz="0" w:space="0" w:color="auto"/>
            <w:left w:val="none" w:sz="0" w:space="0" w:color="auto"/>
            <w:bottom w:val="none" w:sz="0" w:space="0" w:color="auto"/>
            <w:right w:val="none" w:sz="0" w:space="0" w:color="auto"/>
          </w:divBdr>
        </w:div>
      </w:divsChild>
    </w:div>
    <w:div w:id="1760174066">
      <w:bodyDiv w:val="1"/>
      <w:marLeft w:val="0"/>
      <w:marRight w:val="0"/>
      <w:marTop w:val="0"/>
      <w:marBottom w:val="0"/>
      <w:divBdr>
        <w:top w:val="none" w:sz="0" w:space="0" w:color="auto"/>
        <w:left w:val="none" w:sz="0" w:space="0" w:color="auto"/>
        <w:bottom w:val="none" w:sz="0" w:space="0" w:color="auto"/>
        <w:right w:val="none" w:sz="0" w:space="0" w:color="auto"/>
      </w:divBdr>
    </w:div>
    <w:div w:id="1760902373">
      <w:bodyDiv w:val="1"/>
      <w:marLeft w:val="0"/>
      <w:marRight w:val="0"/>
      <w:marTop w:val="0"/>
      <w:marBottom w:val="0"/>
      <w:divBdr>
        <w:top w:val="none" w:sz="0" w:space="0" w:color="auto"/>
        <w:left w:val="none" w:sz="0" w:space="0" w:color="auto"/>
        <w:bottom w:val="none" w:sz="0" w:space="0" w:color="auto"/>
        <w:right w:val="none" w:sz="0" w:space="0" w:color="auto"/>
      </w:divBdr>
      <w:divsChild>
        <w:div w:id="18432834">
          <w:marLeft w:val="1267"/>
          <w:marRight w:val="0"/>
          <w:marTop w:val="0"/>
          <w:marBottom w:val="202"/>
          <w:divBdr>
            <w:top w:val="none" w:sz="0" w:space="0" w:color="auto"/>
            <w:left w:val="none" w:sz="0" w:space="0" w:color="auto"/>
            <w:bottom w:val="none" w:sz="0" w:space="0" w:color="auto"/>
            <w:right w:val="none" w:sz="0" w:space="0" w:color="auto"/>
          </w:divBdr>
        </w:div>
        <w:div w:id="557592178">
          <w:marLeft w:val="1267"/>
          <w:marRight w:val="0"/>
          <w:marTop w:val="0"/>
          <w:marBottom w:val="202"/>
          <w:divBdr>
            <w:top w:val="none" w:sz="0" w:space="0" w:color="auto"/>
            <w:left w:val="none" w:sz="0" w:space="0" w:color="auto"/>
            <w:bottom w:val="none" w:sz="0" w:space="0" w:color="auto"/>
            <w:right w:val="none" w:sz="0" w:space="0" w:color="auto"/>
          </w:divBdr>
        </w:div>
      </w:divsChild>
    </w:div>
    <w:div w:id="1772315853">
      <w:bodyDiv w:val="1"/>
      <w:marLeft w:val="0"/>
      <w:marRight w:val="0"/>
      <w:marTop w:val="0"/>
      <w:marBottom w:val="0"/>
      <w:divBdr>
        <w:top w:val="none" w:sz="0" w:space="0" w:color="auto"/>
        <w:left w:val="none" w:sz="0" w:space="0" w:color="auto"/>
        <w:bottom w:val="none" w:sz="0" w:space="0" w:color="auto"/>
        <w:right w:val="none" w:sz="0" w:space="0" w:color="auto"/>
      </w:divBdr>
      <w:divsChild>
        <w:div w:id="141773935">
          <w:marLeft w:val="806"/>
          <w:marRight w:val="0"/>
          <w:marTop w:val="0"/>
          <w:marBottom w:val="227"/>
          <w:divBdr>
            <w:top w:val="none" w:sz="0" w:space="0" w:color="auto"/>
            <w:left w:val="none" w:sz="0" w:space="0" w:color="auto"/>
            <w:bottom w:val="none" w:sz="0" w:space="0" w:color="auto"/>
            <w:right w:val="none" w:sz="0" w:space="0" w:color="auto"/>
          </w:divBdr>
        </w:div>
        <w:div w:id="449782149">
          <w:marLeft w:val="806"/>
          <w:marRight w:val="0"/>
          <w:marTop w:val="0"/>
          <w:marBottom w:val="227"/>
          <w:divBdr>
            <w:top w:val="none" w:sz="0" w:space="0" w:color="auto"/>
            <w:left w:val="none" w:sz="0" w:space="0" w:color="auto"/>
            <w:bottom w:val="none" w:sz="0" w:space="0" w:color="auto"/>
            <w:right w:val="none" w:sz="0" w:space="0" w:color="auto"/>
          </w:divBdr>
        </w:div>
        <w:div w:id="1521121848">
          <w:marLeft w:val="806"/>
          <w:marRight w:val="0"/>
          <w:marTop w:val="0"/>
          <w:marBottom w:val="227"/>
          <w:divBdr>
            <w:top w:val="none" w:sz="0" w:space="0" w:color="auto"/>
            <w:left w:val="none" w:sz="0" w:space="0" w:color="auto"/>
            <w:bottom w:val="none" w:sz="0" w:space="0" w:color="auto"/>
            <w:right w:val="none" w:sz="0" w:space="0" w:color="auto"/>
          </w:divBdr>
        </w:div>
      </w:divsChild>
    </w:div>
    <w:div w:id="1898977034">
      <w:bodyDiv w:val="1"/>
      <w:marLeft w:val="0"/>
      <w:marRight w:val="0"/>
      <w:marTop w:val="0"/>
      <w:marBottom w:val="0"/>
      <w:divBdr>
        <w:top w:val="none" w:sz="0" w:space="0" w:color="auto"/>
        <w:left w:val="none" w:sz="0" w:space="0" w:color="auto"/>
        <w:bottom w:val="none" w:sz="0" w:space="0" w:color="auto"/>
        <w:right w:val="none" w:sz="0" w:space="0" w:color="auto"/>
      </w:divBdr>
      <w:divsChild>
        <w:div w:id="7021718">
          <w:marLeft w:val="0"/>
          <w:marRight w:val="0"/>
          <w:marTop w:val="0"/>
          <w:marBottom w:val="0"/>
          <w:divBdr>
            <w:top w:val="none" w:sz="0" w:space="0" w:color="auto"/>
            <w:left w:val="none" w:sz="0" w:space="0" w:color="auto"/>
            <w:bottom w:val="none" w:sz="0" w:space="0" w:color="auto"/>
            <w:right w:val="none" w:sz="0" w:space="0" w:color="auto"/>
          </w:divBdr>
        </w:div>
        <w:div w:id="88426282">
          <w:marLeft w:val="0"/>
          <w:marRight w:val="0"/>
          <w:marTop w:val="0"/>
          <w:marBottom w:val="0"/>
          <w:divBdr>
            <w:top w:val="none" w:sz="0" w:space="0" w:color="auto"/>
            <w:left w:val="none" w:sz="0" w:space="0" w:color="auto"/>
            <w:bottom w:val="none" w:sz="0" w:space="0" w:color="auto"/>
            <w:right w:val="none" w:sz="0" w:space="0" w:color="auto"/>
          </w:divBdr>
        </w:div>
        <w:div w:id="116728204">
          <w:marLeft w:val="0"/>
          <w:marRight w:val="0"/>
          <w:marTop w:val="0"/>
          <w:marBottom w:val="0"/>
          <w:divBdr>
            <w:top w:val="none" w:sz="0" w:space="0" w:color="auto"/>
            <w:left w:val="none" w:sz="0" w:space="0" w:color="auto"/>
            <w:bottom w:val="none" w:sz="0" w:space="0" w:color="auto"/>
            <w:right w:val="none" w:sz="0" w:space="0" w:color="auto"/>
          </w:divBdr>
        </w:div>
        <w:div w:id="170949329">
          <w:marLeft w:val="0"/>
          <w:marRight w:val="0"/>
          <w:marTop w:val="0"/>
          <w:marBottom w:val="0"/>
          <w:divBdr>
            <w:top w:val="none" w:sz="0" w:space="0" w:color="auto"/>
            <w:left w:val="none" w:sz="0" w:space="0" w:color="auto"/>
            <w:bottom w:val="none" w:sz="0" w:space="0" w:color="auto"/>
            <w:right w:val="none" w:sz="0" w:space="0" w:color="auto"/>
          </w:divBdr>
        </w:div>
        <w:div w:id="277951809">
          <w:marLeft w:val="0"/>
          <w:marRight w:val="0"/>
          <w:marTop w:val="0"/>
          <w:marBottom w:val="0"/>
          <w:divBdr>
            <w:top w:val="none" w:sz="0" w:space="0" w:color="auto"/>
            <w:left w:val="none" w:sz="0" w:space="0" w:color="auto"/>
            <w:bottom w:val="none" w:sz="0" w:space="0" w:color="auto"/>
            <w:right w:val="none" w:sz="0" w:space="0" w:color="auto"/>
          </w:divBdr>
        </w:div>
        <w:div w:id="291256588">
          <w:marLeft w:val="0"/>
          <w:marRight w:val="0"/>
          <w:marTop w:val="0"/>
          <w:marBottom w:val="0"/>
          <w:divBdr>
            <w:top w:val="none" w:sz="0" w:space="0" w:color="auto"/>
            <w:left w:val="none" w:sz="0" w:space="0" w:color="auto"/>
            <w:bottom w:val="none" w:sz="0" w:space="0" w:color="auto"/>
            <w:right w:val="none" w:sz="0" w:space="0" w:color="auto"/>
          </w:divBdr>
        </w:div>
        <w:div w:id="376660061">
          <w:marLeft w:val="0"/>
          <w:marRight w:val="0"/>
          <w:marTop w:val="0"/>
          <w:marBottom w:val="0"/>
          <w:divBdr>
            <w:top w:val="none" w:sz="0" w:space="0" w:color="auto"/>
            <w:left w:val="none" w:sz="0" w:space="0" w:color="auto"/>
            <w:bottom w:val="none" w:sz="0" w:space="0" w:color="auto"/>
            <w:right w:val="none" w:sz="0" w:space="0" w:color="auto"/>
          </w:divBdr>
        </w:div>
        <w:div w:id="405418933">
          <w:marLeft w:val="0"/>
          <w:marRight w:val="0"/>
          <w:marTop w:val="0"/>
          <w:marBottom w:val="0"/>
          <w:divBdr>
            <w:top w:val="none" w:sz="0" w:space="0" w:color="auto"/>
            <w:left w:val="none" w:sz="0" w:space="0" w:color="auto"/>
            <w:bottom w:val="none" w:sz="0" w:space="0" w:color="auto"/>
            <w:right w:val="none" w:sz="0" w:space="0" w:color="auto"/>
          </w:divBdr>
        </w:div>
        <w:div w:id="499468465">
          <w:marLeft w:val="0"/>
          <w:marRight w:val="0"/>
          <w:marTop w:val="0"/>
          <w:marBottom w:val="0"/>
          <w:divBdr>
            <w:top w:val="none" w:sz="0" w:space="0" w:color="auto"/>
            <w:left w:val="none" w:sz="0" w:space="0" w:color="auto"/>
            <w:bottom w:val="none" w:sz="0" w:space="0" w:color="auto"/>
            <w:right w:val="none" w:sz="0" w:space="0" w:color="auto"/>
          </w:divBdr>
        </w:div>
        <w:div w:id="811992863">
          <w:marLeft w:val="0"/>
          <w:marRight w:val="0"/>
          <w:marTop w:val="0"/>
          <w:marBottom w:val="0"/>
          <w:divBdr>
            <w:top w:val="none" w:sz="0" w:space="0" w:color="auto"/>
            <w:left w:val="none" w:sz="0" w:space="0" w:color="auto"/>
            <w:bottom w:val="none" w:sz="0" w:space="0" w:color="auto"/>
            <w:right w:val="none" w:sz="0" w:space="0" w:color="auto"/>
          </w:divBdr>
        </w:div>
        <w:div w:id="904603529">
          <w:marLeft w:val="0"/>
          <w:marRight w:val="0"/>
          <w:marTop w:val="0"/>
          <w:marBottom w:val="0"/>
          <w:divBdr>
            <w:top w:val="none" w:sz="0" w:space="0" w:color="auto"/>
            <w:left w:val="none" w:sz="0" w:space="0" w:color="auto"/>
            <w:bottom w:val="none" w:sz="0" w:space="0" w:color="auto"/>
            <w:right w:val="none" w:sz="0" w:space="0" w:color="auto"/>
          </w:divBdr>
        </w:div>
        <w:div w:id="920024282">
          <w:marLeft w:val="0"/>
          <w:marRight w:val="0"/>
          <w:marTop w:val="0"/>
          <w:marBottom w:val="0"/>
          <w:divBdr>
            <w:top w:val="none" w:sz="0" w:space="0" w:color="auto"/>
            <w:left w:val="none" w:sz="0" w:space="0" w:color="auto"/>
            <w:bottom w:val="none" w:sz="0" w:space="0" w:color="auto"/>
            <w:right w:val="none" w:sz="0" w:space="0" w:color="auto"/>
          </w:divBdr>
        </w:div>
        <w:div w:id="1000087309">
          <w:marLeft w:val="0"/>
          <w:marRight w:val="0"/>
          <w:marTop w:val="0"/>
          <w:marBottom w:val="0"/>
          <w:divBdr>
            <w:top w:val="none" w:sz="0" w:space="0" w:color="auto"/>
            <w:left w:val="none" w:sz="0" w:space="0" w:color="auto"/>
            <w:bottom w:val="none" w:sz="0" w:space="0" w:color="auto"/>
            <w:right w:val="none" w:sz="0" w:space="0" w:color="auto"/>
          </w:divBdr>
        </w:div>
        <w:div w:id="1039354308">
          <w:marLeft w:val="0"/>
          <w:marRight w:val="0"/>
          <w:marTop w:val="0"/>
          <w:marBottom w:val="0"/>
          <w:divBdr>
            <w:top w:val="none" w:sz="0" w:space="0" w:color="auto"/>
            <w:left w:val="none" w:sz="0" w:space="0" w:color="auto"/>
            <w:bottom w:val="none" w:sz="0" w:space="0" w:color="auto"/>
            <w:right w:val="none" w:sz="0" w:space="0" w:color="auto"/>
          </w:divBdr>
        </w:div>
        <w:div w:id="1100566678">
          <w:marLeft w:val="0"/>
          <w:marRight w:val="0"/>
          <w:marTop w:val="0"/>
          <w:marBottom w:val="0"/>
          <w:divBdr>
            <w:top w:val="none" w:sz="0" w:space="0" w:color="auto"/>
            <w:left w:val="none" w:sz="0" w:space="0" w:color="auto"/>
            <w:bottom w:val="none" w:sz="0" w:space="0" w:color="auto"/>
            <w:right w:val="none" w:sz="0" w:space="0" w:color="auto"/>
          </w:divBdr>
        </w:div>
        <w:div w:id="1125276100">
          <w:marLeft w:val="0"/>
          <w:marRight w:val="0"/>
          <w:marTop w:val="0"/>
          <w:marBottom w:val="0"/>
          <w:divBdr>
            <w:top w:val="none" w:sz="0" w:space="0" w:color="auto"/>
            <w:left w:val="none" w:sz="0" w:space="0" w:color="auto"/>
            <w:bottom w:val="none" w:sz="0" w:space="0" w:color="auto"/>
            <w:right w:val="none" w:sz="0" w:space="0" w:color="auto"/>
          </w:divBdr>
        </w:div>
        <w:div w:id="1246718865">
          <w:marLeft w:val="0"/>
          <w:marRight w:val="0"/>
          <w:marTop w:val="0"/>
          <w:marBottom w:val="0"/>
          <w:divBdr>
            <w:top w:val="none" w:sz="0" w:space="0" w:color="auto"/>
            <w:left w:val="none" w:sz="0" w:space="0" w:color="auto"/>
            <w:bottom w:val="none" w:sz="0" w:space="0" w:color="auto"/>
            <w:right w:val="none" w:sz="0" w:space="0" w:color="auto"/>
          </w:divBdr>
        </w:div>
        <w:div w:id="1329792837">
          <w:marLeft w:val="0"/>
          <w:marRight w:val="0"/>
          <w:marTop w:val="0"/>
          <w:marBottom w:val="0"/>
          <w:divBdr>
            <w:top w:val="none" w:sz="0" w:space="0" w:color="auto"/>
            <w:left w:val="none" w:sz="0" w:space="0" w:color="auto"/>
            <w:bottom w:val="none" w:sz="0" w:space="0" w:color="auto"/>
            <w:right w:val="none" w:sz="0" w:space="0" w:color="auto"/>
          </w:divBdr>
        </w:div>
        <w:div w:id="1402559021">
          <w:marLeft w:val="0"/>
          <w:marRight w:val="0"/>
          <w:marTop w:val="0"/>
          <w:marBottom w:val="0"/>
          <w:divBdr>
            <w:top w:val="none" w:sz="0" w:space="0" w:color="auto"/>
            <w:left w:val="none" w:sz="0" w:space="0" w:color="auto"/>
            <w:bottom w:val="none" w:sz="0" w:space="0" w:color="auto"/>
            <w:right w:val="none" w:sz="0" w:space="0" w:color="auto"/>
          </w:divBdr>
        </w:div>
        <w:div w:id="1422607708">
          <w:marLeft w:val="0"/>
          <w:marRight w:val="0"/>
          <w:marTop w:val="0"/>
          <w:marBottom w:val="0"/>
          <w:divBdr>
            <w:top w:val="none" w:sz="0" w:space="0" w:color="auto"/>
            <w:left w:val="none" w:sz="0" w:space="0" w:color="auto"/>
            <w:bottom w:val="none" w:sz="0" w:space="0" w:color="auto"/>
            <w:right w:val="none" w:sz="0" w:space="0" w:color="auto"/>
          </w:divBdr>
        </w:div>
        <w:div w:id="1512795958">
          <w:marLeft w:val="0"/>
          <w:marRight w:val="0"/>
          <w:marTop w:val="0"/>
          <w:marBottom w:val="0"/>
          <w:divBdr>
            <w:top w:val="none" w:sz="0" w:space="0" w:color="auto"/>
            <w:left w:val="none" w:sz="0" w:space="0" w:color="auto"/>
            <w:bottom w:val="none" w:sz="0" w:space="0" w:color="auto"/>
            <w:right w:val="none" w:sz="0" w:space="0" w:color="auto"/>
          </w:divBdr>
        </w:div>
        <w:div w:id="1591088013">
          <w:marLeft w:val="0"/>
          <w:marRight w:val="0"/>
          <w:marTop w:val="0"/>
          <w:marBottom w:val="0"/>
          <w:divBdr>
            <w:top w:val="none" w:sz="0" w:space="0" w:color="auto"/>
            <w:left w:val="none" w:sz="0" w:space="0" w:color="auto"/>
            <w:bottom w:val="none" w:sz="0" w:space="0" w:color="auto"/>
            <w:right w:val="none" w:sz="0" w:space="0" w:color="auto"/>
          </w:divBdr>
        </w:div>
        <w:div w:id="1687948891">
          <w:marLeft w:val="0"/>
          <w:marRight w:val="0"/>
          <w:marTop w:val="0"/>
          <w:marBottom w:val="0"/>
          <w:divBdr>
            <w:top w:val="none" w:sz="0" w:space="0" w:color="auto"/>
            <w:left w:val="none" w:sz="0" w:space="0" w:color="auto"/>
            <w:bottom w:val="none" w:sz="0" w:space="0" w:color="auto"/>
            <w:right w:val="none" w:sz="0" w:space="0" w:color="auto"/>
          </w:divBdr>
        </w:div>
        <w:div w:id="1710177838">
          <w:marLeft w:val="0"/>
          <w:marRight w:val="0"/>
          <w:marTop w:val="0"/>
          <w:marBottom w:val="0"/>
          <w:divBdr>
            <w:top w:val="none" w:sz="0" w:space="0" w:color="auto"/>
            <w:left w:val="none" w:sz="0" w:space="0" w:color="auto"/>
            <w:bottom w:val="none" w:sz="0" w:space="0" w:color="auto"/>
            <w:right w:val="none" w:sz="0" w:space="0" w:color="auto"/>
          </w:divBdr>
        </w:div>
        <w:div w:id="1713924388">
          <w:marLeft w:val="0"/>
          <w:marRight w:val="0"/>
          <w:marTop w:val="0"/>
          <w:marBottom w:val="0"/>
          <w:divBdr>
            <w:top w:val="none" w:sz="0" w:space="0" w:color="auto"/>
            <w:left w:val="none" w:sz="0" w:space="0" w:color="auto"/>
            <w:bottom w:val="none" w:sz="0" w:space="0" w:color="auto"/>
            <w:right w:val="none" w:sz="0" w:space="0" w:color="auto"/>
          </w:divBdr>
        </w:div>
        <w:div w:id="1750424735">
          <w:marLeft w:val="0"/>
          <w:marRight w:val="0"/>
          <w:marTop w:val="0"/>
          <w:marBottom w:val="0"/>
          <w:divBdr>
            <w:top w:val="none" w:sz="0" w:space="0" w:color="auto"/>
            <w:left w:val="none" w:sz="0" w:space="0" w:color="auto"/>
            <w:bottom w:val="none" w:sz="0" w:space="0" w:color="auto"/>
            <w:right w:val="none" w:sz="0" w:space="0" w:color="auto"/>
          </w:divBdr>
        </w:div>
      </w:divsChild>
    </w:div>
    <w:div w:id="193266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47E3-71D7-4466-ACDD-04ABFA0B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7843</Characters>
  <Application>Microsoft Office Word</Application>
  <DocSecurity>4</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Gestionarte Consultores</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Arturo Garcia Garcia</dc:creator>
  <cp:keywords/>
  <dc:description/>
  <cp:lastModifiedBy>Maria Alejandra Muñoz Rincon</cp:lastModifiedBy>
  <cp:revision>2</cp:revision>
  <dcterms:created xsi:type="dcterms:W3CDTF">2017-12-27T17:07:00Z</dcterms:created>
  <dcterms:modified xsi:type="dcterms:W3CDTF">2017-12-27T17:07:00Z</dcterms:modified>
</cp:coreProperties>
</file>